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8C" w:rsidRPr="00ED16D4" w:rsidRDefault="00DB188C" w:rsidP="00DB188C">
      <w:pPr>
        <w:rPr>
          <w:rFonts w:ascii="Arial" w:hAnsi="Arial" w:cs="Arial"/>
        </w:rPr>
      </w:pPr>
      <w:bookmarkStart w:id="0" w:name="_GoBack"/>
      <w:bookmarkEnd w:id="0"/>
    </w:p>
    <w:p w:rsidR="0014313F" w:rsidRPr="00EF2AD2" w:rsidRDefault="0014313F" w:rsidP="0014313F">
      <w:pPr>
        <w:numPr>
          <w:ilvl w:val="0"/>
          <w:numId w:val="3"/>
        </w:numPr>
        <w:tabs>
          <w:tab w:val="clear" w:pos="720"/>
          <w:tab w:val="num" w:pos="284"/>
        </w:tabs>
        <w:rPr>
          <w:rFonts w:ascii="Arial" w:hAnsi="Arial" w:cs="Arial"/>
          <w:b/>
          <w:szCs w:val="22"/>
        </w:rPr>
      </w:pPr>
      <w:r w:rsidRPr="00EF2AD2">
        <w:rPr>
          <w:rFonts w:ascii="Arial" w:hAnsi="Arial" w:cs="Arial"/>
          <w:b/>
          <w:szCs w:val="22"/>
        </w:rPr>
        <w:t>Situering van de procedure</w:t>
      </w:r>
      <w:r>
        <w:rPr>
          <w:rFonts w:ascii="Arial" w:hAnsi="Arial" w:cs="Arial"/>
          <w:b/>
          <w:szCs w:val="22"/>
        </w:rPr>
        <w:t>: reactiebeleid</w:t>
      </w:r>
      <w:r w:rsidRPr="00EF2AD2">
        <w:rPr>
          <w:rFonts w:ascii="Arial" w:hAnsi="Arial" w:cs="Arial"/>
          <w:b/>
          <w:szCs w:val="22"/>
        </w:rPr>
        <w:t xml:space="preserve"> van relatievorming en seksualiteit</w:t>
      </w:r>
    </w:p>
    <w:p w:rsidR="0014313F" w:rsidRPr="00EF2AD2" w:rsidRDefault="0014313F" w:rsidP="0014313F">
      <w:pPr>
        <w:rPr>
          <w:rFonts w:ascii="Arial" w:hAnsi="Arial" w:cs="Arial"/>
          <w:szCs w:val="22"/>
        </w:rPr>
      </w:pPr>
    </w:p>
    <w:p w:rsidR="0014313F" w:rsidRPr="00EF2AD2" w:rsidRDefault="0014313F" w:rsidP="0014313F">
      <w:pPr>
        <w:rPr>
          <w:rFonts w:ascii="Arial" w:hAnsi="Arial" w:cs="Arial"/>
          <w:b/>
          <w:szCs w:val="22"/>
        </w:rPr>
      </w:pPr>
      <w:r w:rsidRPr="00EF2AD2">
        <w:rPr>
          <w:rFonts w:ascii="Arial" w:hAnsi="Arial" w:cs="Arial"/>
          <w:szCs w:val="22"/>
        </w:rPr>
        <w:t>Deze procedure situeert zich binnen de procedure ‘Preventie van misbruik en geweld’.</w:t>
      </w:r>
    </w:p>
    <w:p w:rsidR="0014313F" w:rsidRPr="00EF2AD2" w:rsidRDefault="0014313F" w:rsidP="0014313F">
      <w:pPr>
        <w:rPr>
          <w:rFonts w:ascii="Arial" w:hAnsi="Arial" w:cs="Arial"/>
          <w:szCs w:val="22"/>
        </w:rPr>
      </w:pPr>
      <w:r w:rsidRPr="00EF2AD2">
        <w:rPr>
          <w:rFonts w:ascii="Arial" w:hAnsi="Arial" w:cs="Arial"/>
          <w:szCs w:val="22"/>
        </w:rPr>
        <w:t>Binnen ‘Preventie van misbruik en geweld’ wordt volgende opsplitsing gemaakt:</w:t>
      </w:r>
    </w:p>
    <w:p w:rsidR="0014313F" w:rsidRPr="00EF2AD2" w:rsidRDefault="0014313F" w:rsidP="0014313F">
      <w:pPr>
        <w:rPr>
          <w:rFonts w:ascii="Arial" w:hAnsi="Arial" w:cs="Arial"/>
          <w:szCs w:val="22"/>
        </w:rPr>
      </w:pPr>
      <w:r w:rsidRPr="00EF2AD2">
        <w:rPr>
          <w:rFonts w:ascii="Arial" w:hAnsi="Arial" w:cs="Arial"/>
          <w:szCs w:val="22"/>
        </w:rPr>
        <w:t>Deel 1: Agressiebeleid</w:t>
      </w:r>
    </w:p>
    <w:p w:rsidR="0014313F" w:rsidRPr="00EF2AD2" w:rsidRDefault="0014313F" w:rsidP="0014313F">
      <w:pPr>
        <w:rPr>
          <w:rFonts w:ascii="Arial" w:hAnsi="Arial" w:cs="Arial"/>
          <w:szCs w:val="22"/>
        </w:rPr>
      </w:pPr>
      <w:r w:rsidRPr="00EF2AD2">
        <w:rPr>
          <w:rFonts w:ascii="Arial" w:hAnsi="Arial" w:cs="Arial"/>
          <w:szCs w:val="22"/>
        </w:rPr>
        <w:t>Deel 2: Relatievorming en seksualiteit</w:t>
      </w:r>
    </w:p>
    <w:p w:rsidR="0014313F" w:rsidRPr="00EF2AD2" w:rsidRDefault="0014313F" w:rsidP="0014313F">
      <w:pPr>
        <w:rPr>
          <w:rFonts w:ascii="Arial" w:hAnsi="Arial" w:cs="Arial"/>
          <w:szCs w:val="22"/>
        </w:rPr>
      </w:pPr>
    </w:p>
    <w:p w:rsidR="0014313F" w:rsidRPr="00EF2AD2" w:rsidRDefault="0014313F" w:rsidP="0014313F">
      <w:pPr>
        <w:rPr>
          <w:rFonts w:ascii="Arial" w:hAnsi="Arial" w:cs="Arial"/>
          <w:szCs w:val="22"/>
        </w:rPr>
      </w:pPr>
      <w:r w:rsidRPr="00EF2AD2">
        <w:rPr>
          <w:rFonts w:ascii="Arial" w:hAnsi="Arial" w:cs="Arial"/>
          <w:szCs w:val="22"/>
        </w:rPr>
        <w:t xml:space="preserve">In deze procedure wordt het </w:t>
      </w:r>
      <w:r>
        <w:rPr>
          <w:rFonts w:ascii="Arial" w:hAnsi="Arial" w:cs="Arial"/>
          <w:szCs w:val="22"/>
        </w:rPr>
        <w:t>reactiebeleid</w:t>
      </w:r>
      <w:r w:rsidRPr="003A777A">
        <w:rPr>
          <w:rFonts w:ascii="Arial" w:hAnsi="Arial" w:cs="Arial"/>
          <w:szCs w:val="22"/>
        </w:rPr>
        <w:t xml:space="preserve"> van relatievorming en seksualiteit</w:t>
      </w:r>
      <w:r w:rsidRPr="00EF2AD2">
        <w:rPr>
          <w:rFonts w:ascii="Arial" w:hAnsi="Arial" w:cs="Arial"/>
          <w:szCs w:val="22"/>
        </w:rPr>
        <w:t xml:space="preserve"> beschreven.</w:t>
      </w:r>
    </w:p>
    <w:p w:rsidR="0014313F" w:rsidRPr="00EF2AD2" w:rsidRDefault="0014313F" w:rsidP="0014313F">
      <w:pPr>
        <w:rPr>
          <w:rFonts w:ascii="Arial" w:hAnsi="Arial" w:cs="Arial"/>
          <w:b/>
          <w:szCs w:val="22"/>
        </w:rPr>
      </w:pPr>
    </w:p>
    <w:p w:rsidR="0014313F" w:rsidRPr="00EF2AD2" w:rsidRDefault="0014313F" w:rsidP="0014313F">
      <w:pPr>
        <w:numPr>
          <w:ilvl w:val="0"/>
          <w:numId w:val="3"/>
        </w:numPr>
        <w:tabs>
          <w:tab w:val="clear" w:pos="720"/>
          <w:tab w:val="num" w:pos="284"/>
        </w:tabs>
        <w:rPr>
          <w:rFonts w:ascii="Arial" w:hAnsi="Arial" w:cs="Arial"/>
          <w:b/>
          <w:szCs w:val="22"/>
        </w:rPr>
      </w:pPr>
      <w:r w:rsidRPr="00EF2AD2">
        <w:rPr>
          <w:rFonts w:ascii="Arial" w:hAnsi="Arial" w:cs="Arial"/>
          <w:b/>
          <w:szCs w:val="22"/>
        </w:rPr>
        <w:t>Beschrijving van de procedure</w:t>
      </w:r>
      <w:r>
        <w:rPr>
          <w:rFonts w:ascii="Arial" w:hAnsi="Arial" w:cs="Arial"/>
          <w:b/>
          <w:szCs w:val="22"/>
        </w:rPr>
        <w:t>: reactiebeleid</w:t>
      </w:r>
      <w:r w:rsidRPr="00EF2AD2">
        <w:rPr>
          <w:rFonts w:ascii="Arial" w:hAnsi="Arial" w:cs="Arial"/>
          <w:b/>
          <w:szCs w:val="22"/>
        </w:rPr>
        <w:t xml:space="preserve"> van relatievorming en seksualiteit</w:t>
      </w:r>
    </w:p>
    <w:p w:rsidR="00DB188C" w:rsidRDefault="00DB188C">
      <w:pPr>
        <w:pStyle w:val="Kop3"/>
      </w:pPr>
    </w:p>
    <w:p w:rsidR="00BA67C9" w:rsidRPr="00BA67C9" w:rsidRDefault="00BA67C9" w:rsidP="00BA67C9">
      <w:pPr>
        <w:numPr>
          <w:ilvl w:val="0"/>
          <w:numId w:val="5"/>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Detecteren, stoppen en begeleiden van seksueel grensoverschrijdend gedrag</w:t>
      </w:r>
    </w:p>
    <w:p w:rsidR="00BA67C9" w:rsidRPr="00BA67C9" w:rsidRDefault="00BA67C9" w:rsidP="00BA67C9">
      <w:pPr>
        <w:numPr>
          <w:ilvl w:val="0"/>
          <w:numId w:val="5"/>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Ontdekken en werken met (seksueel) grensoverschrijdend gedrag begint dikwijls met vermoedens. Daarom is het essentieel om als professional hiervoor alert te zijn en ruim te observeren. </w:t>
      </w:r>
    </w:p>
    <w:p w:rsidR="00BA67C9" w:rsidRPr="00BA67C9" w:rsidRDefault="00BA67C9" w:rsidP="00BA67C9">
      <w:pPr>
        <w:numPr>
          <w:ilvl w:val="0"/>
          <w:numId w:val="5"/>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Hoe omgaan en reageren op grensoverschrijdend gedrag? </w:t>
      </w:r>
    </w:p>
    <w:p w:rsidR="00BA67C9" w:rsidRPr="00BA67C9" w:rsidRDefault="00BA67C9" w:rsidP="00BA67C9">
      <w:pPr>
        <w:numPr>
          <w:ilvl w:val="0"/>
          <w:numId w:val="4"/>
        </w:numPr>
        <w:spacing w:after="100" w:afterAutospacing="1" w:line="259" w:lineRule="auto"/>
        <w:contextualSpacing/>
        <w:jc w:val="both"/>
        <w:rPr>
          <w:rFonts w:ascii="Arial" w:eastAsia="Calibri" w:hAnsi="Arial" w:cs="Arial"/>
          <w:szCs w:val="22"/>
          <w:lang w:val="nl-BE" w:eastAsia="en-US"/>
        </w:rPr>
      </w:pPr>
      <w:r w:rsidRPr="00BA67C9">
        <w:rPr>
          <w:rFonts w:ascii="Arial" w:eastAsia="Calibri" w:hAnsi="Arial" w:cs="Arial"/>
          <w:szCs w:val="22"/>
          <w:lang w:val="nl-BE" w:eastAsia="en-US"/>
        </w:rPr>
        <w:t>Aantal belangrijke zaken voor het reageren op seksueel grensoverschrijdend gedrag:</w:t>
      </w:r>
    </w:p>
    <w:p w:rsidR="00BA67C9" w:rsidRPr="00BA67C9" w:rsidRDefault="00BA67C9" w:rsidP="00BA67C9">
      <w:pPr>
        <w:numPr>
          <w:ilvl w:val="1"/>
          <w:numId w:val="4"/>
        </w:numPr>
        <w:spacing w:after="100" w:afterAutospacing="1" w:line="259" w:lineRule="auto"/>
        <w:contextualSpacing/>
        <w:jc w:val="both"/>
        <w:rPr>
          <w:rFonts w:ascii="Arial" w:eastAsia="Calibri" w:hAnsi="Arial" w:cs="Arial"/>
          <w:szCs w:val="22"/>
          <w:lang w:val="nl-BE" w:eastAsia="en-US"/>
        </w:rPr>
      </w:pPr>
      <w:r w:rsidRPr="00BA67C9">
        <w:rPr>
          <w:rFonts w:ascii="Arial" w:eastAsia="Calibri" w:hAnsi="Arial" w:cs="Arial"/>
          <w:szCs w:val="22"/>
          <w:lang w:val="nl-BE" w:eastAsia="en-US"/>
        </w:rPr>
        <w:t>Gedrag heeft een functie.</w:t>
      </w:r>
    </w:p>
    <w:p w:rsidR="00BA67C9" w:rsidRPr="00BA67C9" w:rsidRDefault="00BA67C9" w:rsidP="00BA67C9">
      <w:pPr>
        <w:numPr>
          <w:ilvl w:val="1"/>
          <w:numId w:val="4"/>
        </w:numPr>
        <w:spacing w:after="100" w:afterAutospacing="1" w:line="259" w:lineRule="auto"/>
        <w:contextualSpacing/>
        <w:jc w:val="both"/>
        <w:rPr>
          <w:rFonts w:ascii="Arial" w:eastAsia="Calibri" w:hAnsi="Arial" w:cs="Arial"/>
          <w:szCs w:val="22"/>
          <w:lang w:val="nl-BE" w:eastAsia="en-US"/>
        </w:rPr>
      </w:pPr>
      <w:r w:rsidRPr="00BA67C9">
        <w:rPr>
          <w:rFonts w:ascii="Arial" w:eastAsia="Calibri" w:hAnsi="Arial" w:cs="Arial"/>
          <w:szCs w:val="22"/>
          <w:lang w:val="nl-BE" w:eastAsia="en-US"/>
        </w:rPr>
        <w:t>Problematisch gedrag wijst op een (onderliggende) hulpvraag</w:t>
      </w:r>
    </w:p>
    <w:p w:rsidR="00BA67C9" w:rsidRPr="00BA67C9" w:rsidRDefault="00BA67C9" w:rsidP="00BA67C9">
      <w:pPr>
        <w:numPr>
          <w:ilvl w:val="1"/>
          <w:numId w:val="4"/>
        </w:numPr>
        <w:spacing w:after="100" w:afterAutospacing="1" w:line="259" w:lineRule="auto"/>
        <w:contextualSpacing/>
        <w:jc w:val="both"/>
        <w:rPr>
          <w:rFonts w:ascii="Arial" w:eastAsia="Calibri" w:hAnsi="Arial" w:cs="Arial"/>
          <w:szCs w:val="22"/>
          <w:lang w:val="nl-BE" w:eastAsia="en-US"/>
        </w:rPr>
      </w:pPr>
      <w:r w:rsidRPr="00BA67C9">
        <w:rPr>
          <w:rFonts w:ascii="Arial" w:eastAsia="Calibri" w:hAnsi="Arial" w:cs="Arial"/>
          <w:szCs w:val="22"/>
          <w:lang w:val="nl-BE" w:eastAsia="en-US"/>
        </w:rPr>
        <w:t>De (professionele) opvoeder moet zorgen dat er afstemmen is tussen kind en zijn systeem</w:t>
      </w:r>
    </w:p>
    <w:p w:rsidR="00BA67C9" w:rsidRPr="00BA67C9" w:rsidRDefault="00BA67C9" w:rsidP="00BA67C9">
      <w:pPr>
        <w:numPr>
          <w:ilvl w:val="1"/>
          <w:numId w:val="4"/>
        </w:numPr>
        <w:spacing w:after="100" w:afterAutospacing="1" w:line="259" w:lineRule="auto"/>
        <w:contextualSpacing/>
        <w:jc w:val="both"/>
        <w:rPr>
          <w:rFonts w:ascii="Arial" w:eastAsia="Calibri" w:hAnsi="Arial" w:cs="Arial"/>
          <w:szCs w:val="22"/>
          <w:lang w:val="nl-BE" w:eastAsia="en-US"/>
        </w:rPr>
      </w:pPr>
      <w:r w:rsidRPr="00BA67C9">
        <w:rPr>
          <w:rFonts w:ascii="Arial" w:eastAsia="Calibri" w:hAnsi="Arial" w:cs="Arial"/>
          <w:szCs w:val="22"/>
          <w:lang w:val="nl-BE" w:eastAsia="en-US"/>
        </w:rPr>
        <w:t>We moeten aansluiten bij zowel positieve als negatieve factoren in het systeem</w:t>
      </w:r>
    </w:p>
    <w:p w:rsidR="00BA67C9" w:rsidRPr="00BA67C9" w:rsidRDefault="00BA67C9" w:rsidP="00BA67C9">
      <w:pPr>
        <w:numPr>
          <w:ilvl w:val="0"/>
          <w:numId w:val="7"/>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ALS SGG gepleegd is </w:t>
      </w:r>
      <w:r w:rsidRPr="00BA67C9">
        <w:rPr>
          <w:rFonts w:ascii="Arial" w:eastAsia="Calibri" w:hAnsi="Arial" w:cs="Arial"/>
          <w:szCs w:val="22"/>
          <w:lang w:val="nl-BE" w:eastAsia="en-US"/>
        </w:rPr>
        <w:sym w:font="Wingdings" w:char="F0E0"/>
      </w:r>
      <w:r w:rsidRPr="00BA67C9">
        <w:rPr>
          <w:rFonts w:ascii="Arial" w:eastAsia="Calibri" w:hAnsi="Arial" w:cs="Arial"/>
          <w:szCs w:val="22"/>
          <w:lang w:val="nl-BE" w:eastAsia="en-US"/>
        </w:rPr>
        <w:t xml:space="preserve"> reageren vanuit SENSOA vlaggensysteem, MAAR na de situatie bekijken hoe het terug een stapje lager kan in de piramide, namelijk naar het preventiebeleid </w:t>
      </w:r>
      <w:r w:rsidRPr="00BA67C9">
        <w:rPr>
          <w:rFonts w:ascii="Arial" w:eastAsia="Calibri" w:hAnsi="Arial" w:cs="Arial"/>
          <w:szCs w:val="22"/>
          <w:lang w:val="nl-BE" w:eastAsia="en-US"/>
        </w:rPr>
        <w:sym w:font="Wingdings" w:char="F0E0"/>
      </w:r>
      <w:r w:rsidRPr="00BA67C9">
        <w:rPr>
          <w:rFonts w:ascii="Arial" w:eastAsia="Calibri" w:hAnsi="Arial" w:cs="Arial"/>
          <w:szCs w:val="22"/>
          <w:lang w:val="nl-BE" w:eastAsia="en-US"/>
        </w:rPr>
        <w:t xml:space="preserve"> wat leren we uit deze situatie? Wat kunnen we binnen het preventieluik doen voor deze cliënten om zulke situaties een volgende keer te voorkomen </w:t>
      </w:r>
    </w:p>
    <w:p w:rsidR="00BA67C9" w:rsidRPr="00BA67C9" w:rsidRDefault="00BA67C9" w:rsidP="00BA67C9">
      <w:pPr>
        <w:numPr>
          <w:ilvl w:val="0"/>
          <w:numId w:val="7"/>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Passende hulpverlening na een incident, zowel voor dader als slachtoffer. </w:t>
      </w:r>
    </w:p>
    <w:p w:rsidR="00BA67C9" w:rsidRPr="00BA67C9" w:rsidRDefault="00BA67C9" w:rsidP="00BA67C9">
      <w:pPr>
        <w:spacing w:after="120" w:line="276" w:lineRule="auto"/>
        <w:rPr>
          <w:rFonts w:ascii="Arial" w:eastAsia="Calibri" w:hAnsi="Arial" w:cs="Arial"/>
          <w:szCs w:val="22"/>
          <w:lang w:val="nl-BE" w:eastAsia="en-US"/>
        </w:rPr>
      </w:pPr>
    </w:p>
    <w:p w:rsidR="00BA67C9" w:rsidRPr="00BA67C9" w:rsidRDefault="00BA67C9" w:rsidP="00BA67C9">
      <w:pPr>
        <w:spacing w:after="120"/>
        <w:rPr>
          <w:rFonts w:ascii="Arial" w:eastAsia="Calibri" w:hAnsi="Arial" w:cs="Arial"/>
          <w:color w:val="FF0000"/>
          <w:szCs w:val="22"/>
          <w:lang w:val="nl-BE" w:eastAsia="en-US"/>
        </w:rPr>
      </w:pPr>
      <w:r w:rsidRPr="00BA67C9">
        <w:rPr>
          <w:rFonts w:ascii="Arial" w:eastAsia="Calibri" w:hAnsi="Arial" w:cs="Arial"/>
          <w:color w:val="FF0000"/>
          <w:szCs w:val="22"/>
          <w:lang w:val="nl-BE" w:eastAsia="en-US"/>
        </w:rPr>
        <w:t>SENSOA:</w:t>
      </w: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In MPI Oosterlo werken we met de methodiek </w:t>
      </w:r>
      <w:proofErr w:type="spellStart"/>
      <w:r w:rsidRPr="00BA67C9">
        <w:rPr>
          <w:rFonts w:ascii="Arial" w:eastAsia="Calibri" w:hAnsi="Arial" w:cs="Arial"/>
          <w:szCs w:val="22"/>
          <w:lang w:val="nl-BE" w:eastAsia="en-US"/>
        </w:rPr>
        <w:t>Sensoa</w:t>
      </w:r>
      <w:proofErr w:type="spellEnd"/>
      <w:r w:rsidRPr="00BA67C9">
        <w:rPr>
          <w:rFonts w:ascii="Arial" w:eastAsia="Calibri" w:hAnsi="Arial" w:cs="Arial"/>
          <w:szCs w:val="22"/>
          <w:lang w:val="nl-BE" w:eastAsia="en-US"/>
        </w:rPr>
        <w:t xml:space="preserve"> Vlaggensysteem in het omgaan en reageren op seksueel (grensoverschrijdend gedrag):</w:t>
      </w: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de kern van het </w:t>
      </w:r>
      <w:proofErr w:type="spellStart"/>
      <w:r w:rsidRPr="00BA67C9">
        <w:rPr>
          <w:rFonts w:ascii="Arial" w:eastAsia="Calibri" w:hAnsi="Arial" w:cs="Arial"/>
          <w:b/>
          <w:szCs w:val="22"/>
          <w:highlight w:val="yellow"/>
          <w:lang w:val="nl-BE" w:eastAsia="en-US"/>
        </w:rPr>
        <w:t>sensoa</w:t>
      </w:r>
      <w:proofErr w:type="spellEnd"/>
      <w:r w:rsidRPr="00BA67C9">
        <w:rPr>
          <w:rFonts w:ascii="Arial" w:eastAsia="Calibri" w:hAnsi="Arial" w:cs="Arial"/>
          <w:b/>
          <w:szCs w:val="22"/>
          <w:highlight w:val="yellow"/>
          <w:lang w:val="nl-BE" w:eastAsia="en-US"/>
        </w:rPr>
        <w:t xml:space="preserve"> vlaggensysteem</w:t>
      </w:r>
      <w:r w:rsidRPr="00BA67C9">
        <w:rPr>
          <w:rFonts w:ascii="Arial" w:eastAsia="Calibri" w:hAnsi="Arial" w:cs="Arial"/>
          <w:szCs w:val="22"/>
          <w:lang w:val="nl-BE" w:eastAsia="en-US"/>
        </w:rPr>
        <w:t xml:space="preserve"> is zowel het pedagogische adequaat inschatten, het bespreekbaar maken van seksueel (grensoverschrijdend) gedrag en het daarop (pedagogisch) adequaat reageren. </w:t>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Voor het correct inschatten van het gedrag, wordt gebruik gemaakt van zes criteria, vier vlaggen en een normatieve lijst. Aan de vlaggen wordt een pedagogische reactie gekoppeld. </w:t>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757894" w:rsidP="0014313F">
      <w:pPr>
        <w:spacing w:after="120"/>
        <w:jc w:val="center"/>
        <w:rPr>
          <w:rFonts w:ascii="Arial" w:eastAsia="Calibri" w:hAnsi="Arial" w:cs="Arial"/>
          <w:szCs w:val="22"/>
          <w:lang w:val="nl-BE" w:eastAsia="en-US"/>
        </w:rPr>
      </w:pPr>
      <w:r w:rsidRPr="00BA67C9">
        <w:rPr>
          <w:rFonts w:ascii="Calibri" w:eastAsia="Calibri" w:hAnsi="Calibri"/>
          <w:noProof/>
          <w:szCs w:val="22"/>
          <w:lang w:val="nl-BE" w:eastAsia="nl-BE"/>
        </w:rPr>
        <w:lastRenderedPageBreak/>
        <w:drawing>
          <wp:inline distT="0" distB="0" distL="0" distR="0" wp14:anchorId="4310D070" wp14:editId="7719238A">
            <wp:extent cx="3133725" cy="2971800"/>
            <wp:effectExtent l="0" t="0" r="0" b="0"/>
            <wp:docPr id="1" name="Tijdelijke aanduiding voor inhoud 2" descr="StuurwielDef OL.pdf"/>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Tijdelijke aanduiding voor inhoud 2" descr="StuurwielDef OL.pdf"/>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l="427" t="17065" r="-427" b="15990"/>
                    <a:stretch>
                      <a:fillRect/>
                    </a:stretch>
                  </pic:blipFill>
                  <pic:spPr bwMode="auto">
                    <a:xfrm>
                      <a:off x="0" y="0"/>
                      <a:ext cx="3133725" cy="2971800"/>
                    </a:xfrm>
                    <a:prstGeom prst="rect">
                      <a:avLst/>
                    </a:prstGeom>
                    <a:noFill/>
                    <a:ln>
                      <a:noFill/>
                    </a:ln>
                  </pic:spPr>
                </pic:pic>
              </a:graphicData>
            </a:graphic>
          </wp:inline>
        </w:drawing>
      </w:r>
      <w:r w:rsidR="00BA67C9" w:rsidRPr="00BA67C9">
        <w:rPr>
          <w:rFonts w:ascii="Arial" w:eastAsia="Calibri" w:hAnsi="Arial" w:cs="Arial"/>
          <w:szCs w:val="22"/>
          <w:lang w:val="nl-BE" w:eastAsia="en-US"/>
        </w:rPr>
        <w:br w:type="textWrapping" w:clear="all"/>
      </w: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Bij het inschatten van seksueel gedrag baseert het </w:t>
      </w:r>
      <w:proofErr w:type="spellStart"/>
      <w:r w:rsidRPr="00BA67C9">
        <w:rPr>
          <w:rFonts w:ascii="Arial" w:eastAsia="Calibri" w:hAnsi="Arial" w:cs="Arial"/>
          <w:szCs w:val="22"/>
          <w:lang w:val="nl-BE" w:eastAsia="en-US"/>
        </w:rPr>
        <w:t>Sensoa</w:t>
      </w:r>
      <w:proofErr w:type="spellEnd"/>
      <w:r w:rsidRPr="00BA67C9">
        <w:rPr>
          <w:rFonts w:ascii="Arial" w:eastAsia="Calibri" w:hAnsi="Arial" w:cs="Arial"/>
          <w:szCs w:val="22"/>
          <w:lang w:val="nl-BE" w:eastAsia="en-US"/>
        </w:rPr>
        <w:t xml:space="preserve"> Vlaggensysteem zich op een </w:t>
      </w:r>
      <w:r w:rsidR="0014313F" w:rsidRPr="00BA67C9">
        <w:rPr>
          <w:rFonts w:ascii="Arial" w:eastAsia="Calibri" w:hAnsi="Arial" w:cs="Arial"/>
          <w:szCs w:val="22"/>
          <w:lang w:val="nl-BE" w:eastAsia="en-US"/>
        </w:rPr>
        <w:t>aantal</w:t>
      </w:r>
      <w:r w:rsidRPr="00BA67C9">
        <w:rPr>
          <w:rFonts w:ascii="Arial" w:eastAsia="Calibri" w:hAnsi="Arial" w:cs="Arial"/>
          <w:szCs w:val="22"/>
          <w:lang w:val="nl-BE" w:eastAsia="en-US"/>
        </w:rPr>
        <w:t xml:space="preserve"> fundamentele criteria of maatschappelijke waarden, die ook onderliggend zijn aan rechten, wetten, maatschappelijke conventies e.d., en als uitgangspunt wordt genomen dat het gedrag geen schade mag betrokkenen, noch aan e persoon zelf, noch aan andere betrokkenen. Er wordt hierbij steeds uitgegaan van diegene die verantwoordelijk is voor het gedrag. </w:t>
      </w: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Op basis van zes criteria (wederzijdse toestemming, vrijwilligheid, gelijkwaardigheid, passend voor de ontwikkeling of leeftijd, gepast voor de context en zelfrespect) wordt aan het gedrag (of de gevoelens en gedachten) een vlag toegekend. Als alle criteria oké zijn krijgt het gedrag een groene vlag. Afhankelijk van het aantal criteria dat niet oké is en de ernst van de overschrijding krijgt het gedrag een gele, rode of zwarte vlag toegekend. Seksueel gedrag wordt gezien als grensoverschrijdend als aan één van deze voorwaarden (criteria) niet wordt voldaan.</w:t>
      </w:r>
    </w:p>
    <w:p w:rsidR="00BA67C9" w:rsidRPr="00BA67C9" w:rsidRDefault="00757894" w:rsidP="0014313F">
      <w:pPr>
        <w:spacing w:after="120"/>
        <w:jc w:val="center"/>
        <w:rPr>
          <w:rFonts w:ascii="Arial" w:eastAsia="Calibri" w:hAnsi="Arial" w:cs="Arial"/>
          <w:szCs w:val="22"/>
          <w:lang w:val="nl-BE" w:eastAsia="en-US"/>
        </w:rPr>
      </w:pPr>
      <w:r w:rsidRPr="00BA67C9">
        <w:rPr>
          <w:rFonts w:ascii="Calibri" w:eastAsia="Calibri" w:hAnsi="Calibri"/>
          <w:noProof/>
          <w:szCs w:val="22"/>
          <w:lang w:val="nl-BE" w:eastAsia="nl-BE"/>
        </w:rPr>
        <w:drawing>
          <wp:inline distT="0" distB="0" distL="0" distR="0" wp14:anchorId="1A755095" wp14:editId="21A129E4">
            <wp:extent cx="2933700" cy="1885950"/>
            <wp:effectExtent l="0" t="0" r="0"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1885950"/>
                    </a:xfrm>
                    <a:prstGeom prst="rect">
                      <a:avLst/>
                    </a:prstGeom>
                    <a:noFill/>
                    <a:ln>
                      <a:noFill/>
                    </a:ln>
                  </pic:spPr>
                </pic:pic>
              </a:graphicData>
            </a:graphic>
          </wp:inline>
        </w:drawing>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Seksueel grensoverschrijdend gedrag (</w:t>
      </w:r>
      <w:proofErr w:type="spellStart"/>
      <w:r w:rsidRPr="00BA67C9">
        <w:rPr>
          <w:rFonts w:ascii="Arial" w:eastAsia="Calibri" w:hAnsi="Arial" w:cs="Arial"/>
          <w:szCs w:val="22"/>
          <w:lang w:val="nl-BE" w:eastAsia="en-US"/>
        </w:rPr>
        <w:t>bleekgrijze</w:t>
      </w:r>
      <w:proofErr w:type="spellEnd"/>
      <w:r w:rsidRPr="00BA67C9">
        <w:rPr>
          <w:rFonts w:ascii="Arial" w:eastAsia="Calibri" w:hAnsi="Arial" w:cs="Arial"/>
          <w:szCs w:val="22"/>
          <w:lang w:val="nl-BE" w:eastAsia="en-US"/>
        </w:rPr>
        <w:t xml:space="preserve"> zone) is elke vorm van seksueel gedrag van of seksuele toenadering ten aanzien van een kind of jongere, in verbale of fysieke zin, waarbij het seksueel gedrag aan één of meerdere van de volgende criteria niet voldoet: </w:t>
      </w:r>
      <w:r w:rsidRPr="00BA67C9">
        <w:rPr>
          <w:rFonts w:ascii="Arial" w:eastAsia="Calibri" w:hAnsi="Arial" w:cs="Arial"/>
          <w:szCs w:val="22"/>
          <w:lang w:val="nl-BE" w:eastAsia="en-US"/>
        </w:rPr>
        <w:lastRenderedPageBreak/>
        <w:t xml:space="preserve">wederzijdse toestemming (geel), vrijwilligheid (geel), gelijkwaardigheid (geel), passend bij leeftijd of ontwikkeling (geel, rood of zwart), gepast voor de context (geel, rood of zwart) en </w:t>
      </w:r>
      <w:proofErr w:type="spellStart"/>
      <w:r w:rsidRPr="00BA67C9">
        <w:rPr>
          <w:rFonts w:ascii="Arial" w:eastAsia="Calibri" w:hAnsi="Arial" w:cs="Arial"/>
          <w:szCs w:val="22"/>
          <w:lang w:val="nl-BE" w:eastAsia="en-US"/>
        </w:rPr>
        <w:t>zelfrespecterend</w:t>
      </w:r>
      <w:proofErr w:type="spellEnd"/>
      <w:r w:rsidRPr="00BA67C9">
        <w:rPr>
          <w:rFonts w:ascii="Arial" w:eastAsia="Calibri" w:hAnsi="Arial" w:cs="Arial"/>
          <w:szCs w:val="22"/>
          <w:lang w:val="nl-BE" w:eastAsia="en-US"/>
        </w:rPr>
        <w:t xml:space="preserve"> (geel, rood of zwart) </w:t>
      </w: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Seksueel misbruik (donker grijze zone) is elke vorm van seksueel grensoverschrijdend gedrag in verbale of fysieke zin, opzettelijk of onopzettelijk, waar duidelijk (rood of zwart) geen wederzijdse toestemming voor bestaat, en/of dat op één of andere manier afgedwongen is en/of waarbij het slachtoffer veel jonger is of in een afhankelijkheidsrelatie staat.</w:t>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Hoe (pedagogisch) reageren op seksueel (grensoverschrijdend) gedrag vertrekt vanuit de toegekende vlag. Door de manier van reageren willen we als begeleider probleemgedrag verminderen en gezond gedrag stimuleren. Er wordt gestart met een </w:t>
      </w:r>
      <w:proofErr w:type="spellStart"/>
      <w:r w:rsidRPr="00BA67C9">
        <w:rPr>
          <w:rFonts w:ascii="Arial" w:eastAsia="Calibri" w:hAnsi="Arial" w:cs="Arial"/>
          <w:szCs w:val="22"/>
          <w:lang w:val="nl-BE" w:eastAsia="en-US"/>
        </w:rPr>
        <w:t>kortetermijnreactie</w:t>
      </w:r>
      <w:proofErr w:type="spellEnd"/>
      <w:r w:rsidRPr="00BA67C9">
        <w:rPr>
          <w:rFonts w:ascii="Arial" w:eastAsia="Calibri" w:hAnsi="Arial" w:cs="Arial"/>
          <w:szCs w:val="22"/>
          <w:lang w:val="nl-BE" w:eastAsia="en-US"/>
        </w:rPr>
        <w:t xml:space="preserve">, die voortvloeit uit de toegekende vlag. Daarnaast is het ook steeds belangrijk na te denken over de lange termijn: welke algemene pedagogische basisstrategieën zijn nodig om gezond seksueel gedrag en weerbaarheid aan te leren, en preventief of reactief te handelen bij seksueel grensoverschrijdend gedrag? </w:t>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BA67C9" w:rsidP="00BA67C9">
      <w:pPr>
        <w:spacing w:after="120"/>
        <w:jc w:val="both"/>
        <w:rPr>
          <w:rFonts w:ascii="Arial" w:eastAsia="Calibri" w:hAnsi="Arial" w:cs="Arial"/>
          <w:szCs w:val="22"/>
          <w:lang w:val="nl-BE" w:eastAsia="en-US"/>
        </w:rPr>
      </w:pPr>
      <w:r w:rsidRPr="00BA67C9">
        <w:rPr>
          <w:rFonts w:ascii="Arial" w:eastAsia="Calibri" w:hAnsi="Arial" w:cs="Arial"/>
          <w:szCs w:val="22"/>
          <w:lang w:val="nl-BE" w:eastAsia="en-US"/>
        </w:rPr>
        <w:t xml:space="preserve">Specifiek voor onze doelgroep moeten we ook onze korte en </w:t>
      </w:r>
      <w:r w:rsidR="0014313F" w:rsidRPr="00BA67C9">
        <w:rPr>
          <w:rFonts w:ascii="Arial" w:eastAsia="Calibri" w:hAnsi="Arial" w:cs="Arial"/>
          <w:szCs w:val="22"/>
          <w:lang w:val="nl-BE" w:eastAsia="en-US"/>
        </w:rPr>
        <w:t>lange termijn</w:t>
      </w:r>
      <w:r w:rsidRPr="00BA67C9">
        <w:rPr>
          <w:rFonts w:ascii="Arial" w:eastAsia="Calibri" w:hAnsi="Arial" w:cs="Arial"/>
          <w:szCs w:val="22"/>
          <w:lang w:val="nl-BE" w:eastAsia="en-US"/>
        </w:rPr>
        <w:t xml:space="preserve"> reacties aanpassen op het (aan)kunnen van de cliënt: non-verbale reactie en na te denken over het ingrijpen in de context om uitlokkende en </w:t>
      </w:r>
      <w:proofErr w:type="spellStart"/>
      <w:r w:rsidRPr="00BA67C9">
        <w:rPr>
          <w:rFonts w:ascii="Arial" w:eastAsia="Calibri" w:hAnsi="Arial" w:cs="Arial"/>
          <w:szCs w:val="22"/>
          <w:lang w:val="nl-BE" w:eastAsia="en-US"/>
        </w:rPr>
        <w:t>instandhoudende</w:t>
      </w:r>
      <w:proofErr w:type="spellEnd"/>
      <w:r w:rsidRPr="00BA67C9">
        <w:rPr>
          <w:rFonts w:ascii="Arial" w:eastAsia="Calibri" w:hAnsi="Arial" w:cs="Arial"/>
          <w:szCs w:val="22"/>
          <w:lang w:val="nl-BE" w:eastAsia="en-US"/>
        </w:rPr>
        <w:t xml:space="preserve"> factoren van het gedrag zoveel mogelijk uit te schakelen. </w:t>
      </w:r>
    </w:p>
    <w:p w:rsidR="00BA67C9" w:rsidRPr="00BA67C9" w:rsidRDefault="00BA67C9" w:rsidP="00BA67C9">
      <w:pPr>
        <w:spacing w:after="120"/>
        <w:jc w:val="both"/>
        <w:rPr>
          <w:rFonts w:ascii="Arial" w:eastAsia="Calibri" w:hAnsi="Arial" w:cs="Arial"/>
          <w:szCs w:val="22"/>
          <w:lang w:val="nl-BE" w:eastAsia="en-US"/>
        </w:rPr>
      </w:pPr>
    </w:p>
    <w:p w:rsidR="00BA67C9" w:rsidRPr="00BA67C9" w:rsidRDefault="00BA67C9" w:rsidP="00BA67C9">
      <w:pPr>
        <w:spacing w:after="120" w:line="276" w:lineRule="auto"/>
        <w:rPr>
          <w:rFonts w:ascii="Arial" w:eastAsia="Calibri" w:hAnsi="Arial" w:cs="Arial"/>
          <w:b/>
          <w:szCs w:val="22"/>
          <w:lang w:val="nl-BE" w:eastAsia="en-US"/>
        </w:rPr>
      </w:pPr>
      <w:r w:rsidRPr="00BA67C9">
        <w:rPr>
          <w:rFonts w:ascii="Arial" w:eastAsia="Calibri" w:hAnsi="Arial" w:cs="Arial"/>
          <w:b/>
          <w:szCs w:val="22"/>
          <w:lang w:val="nl-BE" w:eastAsia="en-US"/>
        </w:rPr>
        <w:t>Handelingsprotocol en klachtenregeling</w:t>
      </w:r>
    </w:p>
    <w:p w:rsidR="00BA67C9" w:rsidRPr="00BA67C9" w:rsidRDefault="00BA67C9" w:rsidP="00BA67C9">
      <w:pPr>
        <w:numPr>
          <w:ilvl w:val="0"/>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Stappen die een professional kan zetten wanneer er een vermoeden, onthulling of vaststelling is van seksueel grensoverschrijdend gedrag of seksueel misbruik. </w:t>
      </w:r>
    </w:p>
    <w:p w:rsidR="00BA67C9" w:rsidRPr="00BA67C9" w:rsidRDefault="00BA67C9" w:rsidP="00BA67C9">
      <w:pPr>
        <w:numPr>
          <w:ilvl w:val="0"/>
          <w:numId w:val="4"/>
        </w:numPr>
        <w:spacing w:after="120" w:line="259" w:lineRule="auto"/>
        <w:contextualSpacing/>
        <w:rPr>
          <w:rFonts w:ascii="Arial" w:eastAsia="Calibri" w:hAnsi="Arial" w:cs="Arial"/>
          <w:color w:val="FF0000"/>
          <w:szCs w:val="22"/>
          <w:lang w:val="nl-BE" w:eastAsia="en-US"/>
        </w:rPr>
      </w:pPr>
      <w:r w:rsidRPr="00BA67C9">
        <w:rPr>
          <w:rFonts w:ascii="Arial" w:eastAsia="Calibri" w:hAnsi="Arial" w:cs="Arial"/>
          <w:szCs w:val="22"/>
          <w:lang w:val="nl-BE" w:eastAsia="en-US"/>
        </w:rPr>
        <w:t xml:space="preserve">Afhankelijk van kleur vlag </w:t>
      </w:r>
    </w:p>
    <w:p w:rsidR="00BA67C9" w:rsidRPr="00BA67C9" w:rsidRDefault="00BA67C9" w:rsidP="00BA67C9">
      <w:pPr>
        <w:numPr>
          <w:ilvl w:val="0"/>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BIJ ROOD EN ZWART:</w:t>
      </w:r>
    </w:p>
    <w:p w:rsidR="00BA67C9" w:rsidRPr="00BA67C9" w:rsidRDefault="00BA67C9" w:rsidP="00BA67C9">
      <w:pPr>
        <w:numPr>
          <w:ilvl w:val="1"/>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Zorg voor veiligheid binnen de leefgroep, stoppen van het grensoverschrijdende gedrag. </w:t>
      </w:r>
    </w:p>
    <w:p w:rsidR="00BA67C9" w:rsidRPr="00BA67C9" w:rsidRDefault="00BA67C9" w:rsidP="00BA67C9">
      <w:pPr>
        <w:numPr>
          <w:ilvl w:val="1"/>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Zorg voor slachtoffers en dader</w:t>
      </w:r>
    </w:p>
    <w:p w:rsidR="00BA67C9" w:rsidRPr="00BA67C9" w:rsidRDefault="00BA67C9" w:rsidP="00BA67C9">
      <w:pPr>
        <w:numPr>
          <w:ilvl w:val="1"/>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Inlichten van + zorg voor ouders/familie</w:t>
      </w:r>
    </w:p>
    <w:p w:rsidR="00BA67C9" w:rsidRPr="00BA67C9" w:rsidRDefault="00BA67C9" w:rsidP="00BA67C9">
      <w:pPr>
        <w:numPr>
          <w:ilvl w:val="1"/>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Oprichten van een noodteam dat de aanpak coördineert en opvolgt</w:t>
      </w:r>
    </w:p>
    <w:p w:rsidR="00BA67C9" w:rsidRPr="00BA67C9" w:rsidRDefault="00BA67C9" w:rsidP="00BA67C9">
      <w:pPr>
        <w:numPr>
          <w:ilvl w:val="2"/>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Later te nemen stappen:</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T.o.v. de leefgroep</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T.o.v. het slachtoffer (s)</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T.o.v. de dader</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T.o.v. de familie/ouders en verantwoordelijke diensten</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T.o.v. de begeleiding en het team</w:t>
      </w:r>
    </w:p>
    <w:p w:rsidR="00BA67C9" w:rsidRPr="00BA67C9" w:rsidRDefault="00BA67C9" w:rsidP="00BA67C9">
      <w:pPr>
        <w:numPr>
          <w:ilvl w:val="3"/>
          <w:numId w:val="4"/>
        </w:numPr>
        <w:spacing w:after="120" w:line="259" w:lineRule="auto"/>
        <w:contextualSpacing/>
        <w:rPr>
          <w:rFonts w:ascii="Arial" w:eastAsia="Calibri" w:hAnsi="Arial" w:cs="Arial"/>
          <w:szCs w:val="22"/>
          <w:lang w:val="nl-BE" w:eastAsia="en-US"/>
        </w:rPr>
      </w:pPr>
      <w:r w:rsidRPr="00BA67C9">
        <w:rPr>
          <w:rFonts w:ascii="Arial" w:eastAsia="Calibri" w:hAnsi="Arial" w:cs="Arial"/>
          <w:szCs w:val="22"/>
          <w:lang w:val="nl-BE" w:eastAsia="en-US"/>
        </w:rPr>
        <w:t xml:space="preserve">Externe contacten </w:t>
      </w:r>
    </w:p>
    <w:p w:rsidR="00BA67C9" w:rsidRPr="00BA67C9" w:rsidRDefault="00BA67C9" w:rsidP="00BA67C9">
      <w:pPr>
        <w:rPr>
          <w:rFonts w:ascii="Arial" w:eastAsia="Calibri" w:hAnsi="Arial" w:cs="Arial"/>
          <w:b/>
          <w:szCs w:val="22"/>
          <w:lang w:val="nl-BE" w:eastAsia="en-US"/>
        </w:rPr>
      </w:pPr>
    </w:p>
    <w:p w:rsidR="00BA67C9" w:rsidRPr="0014313F" w:rsidRDefault="00BA67C9" w:rsidP="00BA67C9">
      <w:pPr>
        <w:rPr>
          <w:rFonts w:ascii="Arial" w:hAnsi="Arial"/>
          <w:lang w:val="nl-BE"/>
        </w:rPr>
      </w:pPr>
    </w:p>
    <w:sectPr w:rsidR="00BA67C9" w:rsidRPr="0014313F" w:rsidSect="0014313F">
      <w:headerReference w:type="default" r:id="rId12"/>
      <w:footerReference w:type="default" r:id="rId13"/>
      <w:pgSz w:w="11907" w:h="16840" w:code="9"/>
      <w:pgMar w:top="1418" w:right="1418" w:bottom="1418" w:left="1418"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FF" w:rsidRDefault="00201DFF">
      <w:r>
        <w:separator/>
      </w:r>
    </w:p>
  </w:endnote>
  <w:endnote w:type="continuationSeparator" w:id="0">
    <w:p w:rsidR="00201DFF" w:rsidRDefault="0020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E30" w:rsidRPr="003D1E30" w:rsidRDefault="003D1E30">
    <w:pPr>
      <w:pStyle w:val="Voettekst"/>
      <w:rPr>
        <w:rFonts w:ascii="Arial" w:hAnsi="Arial" w:cs="Arial"/>
        <w:color w:val="808080" w:themeColor="background1" w:themeShade="80"/>
        <w:sz w:val="20"/>
      </w:rPr>
    </w:pPr>
    <w:r w:rsidRPr="003D1E30">
      <w:rPr>
        <w:rFonts w:ascii="Arial" w:hAnsi="Arial" w:cs="Arial"/>
        <w:color w:val="808080" w:themeColor="background1" w:themeShade="80"/>
        <w:sz w:val="20"/>
      </w:rPr>
      <w:fldChar w:fldCharType="begin"/>
    </w:r>
    <w:r w:rsidRPr="003D1E30">
      <w:rPr>
        <w:rFonts w:ascii="Arial" w:hAnsi="Arial" w:cs="Arial"/>
        <w:color w:val="808080" w:themeColor="background1" w:themeShade="80"/>
        <w:sz w:val="20"/>
      </w:rPr>
      <w:instrText xml:space="preserve"> FILENAME \p \* MERGEFORMAT </w:instrText>
    </w:r>
    <w:r w:rsidRPr="003D1E30">
      <w:rPr>
        <w:rFonts w:ascii="Arial" w:hAnsi="Arial" w:cs="Arial"/>
        <w:color w:val="808080" w:themeColor="background1" w:themeShade="80"/>
        <w:sz w:val="20"/>
      </w:rPr>
      <w:fldChar w:fldCharType="separate"/>
    </w:r>
    <w:r w:rsidRPr="003D1E30">
      <w:rPr>
        <w:rFonts w:ascii="Arial" w:hAnsi="Arial" w:cs="Arial"/>
        <w:noProof/>
        <w:color w:val="808080" w:themeColor="background1" w:themeShade="80"/>
        <w:sz w:val="20"/>
      </w:rPr>
      <w:t>K:\A_Organisatie\Kwaliteitshandboek\Kwaliteitshandboek\05 Gebruikersgerichte processen\06 voorkomen, dedecteren en gepast reageren op grensoverschrijdend gedrag tav de gebruiker\Deel 2 relaties en seksualiteit\Relaties-seksualiteit 4 Reactiebeleid.docx</w:t>
    </w:r>
    <w:r w:rsidRPr="003D1E30">
      <w:rPr>
        <w:rFonts w:ascii="Arial" w:hAnsi="Arial" w:cs="Arial"/>
        <w:color w:val="808080" w:themeColor="background1" w:themeShade="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FF" w:rsidRDefault="00201DFF">
      <w:r>
        <w:separator/>
      </w:r>
    </w:p>
  </w:footnote>
  <w:footnote w:type="continuationSeparator" w:id="0">
    <w:p w:rsidR="00201DFF" w:rsidRDefault="00201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3544"/>
      <w:gridCol w:w="2835"/>
      <w:gridCol w:w="567"/>
    </w:tblGrid>
    <w:tr w:rsidR="00DB188C" w:rsidTr="007432FB">
      <w:tc>
        <w:tcPr>
          <w:tcW w:w="2978" w:type="dxa"/>
        </w:tcPr>
        <w:p w:rsidR="00DB188C" w:rsidRDefault="00757894" w:rsidP="00E16825">
          <w:pPr>
            <w:pStyle w:val="Koptekst"/>
            <w:jc w:val="center"/>
            <w:rPr>
              <w:rFonts w:ascii="Arial" w:hAnsi="Arial"/>
              <w:b/>
            </w:rPr>
          </w:pPr>
          <w:r>
            <w:rPr>
              <w:rFonts w:ascii="Arial" w:hAnsi="Arial"/>
              <w:b/>
              <w:noProof/>
              <w:lang w:val="nl-BE" w:eastAsia="nl-BE"/>
            </w:rPr>
            <w:drawing>
              <wp:inline distT="0" distB="0" distL="0" distR="0">
                <wp:extent cx="1762125" cy="228600"/>
                <wp:effectExtent l="0" t="0" r="9525" b="0"/>
                <wp:docPr id="2" name="Afbeelding 2"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3544" w:type="dxa"/>
        </w:tcPr>
        <w:p w:rsidR="00DB188C" w:rsidRDefault="00DB188C" w:rsidP="00E16825">
          <w:pPr>
            <w:pStyle w:val="Koptekst"/>
            <w:jc w:val="center"/>
            <w:rPr>
              <w:rFonts w:ascii="Arial" w:hAnsi="Arial"/>
              <w:b/>
              <w:u w:val="single"/>
            </w:rPr>
          </w:pPr>
          <w:r>
            <w:rPr>
              <w:rFonts w:ascii="Arial" w:hAnsi="Arial"/>
              <w:b/>
              <w:u w:val="single"/>
            </w:rPr>
            <w:t>Kwaliteitshandboek</w:t>
          </w:r>
        </w:p>
        <w:p w:rsidR="00DB188C" w:rsidRDefault="00DB188C" w:rsidP="00E16825">
          <w:pPr>
            <w:pStyle w:val="Koptekst"/>
            <w:rPr>
              <w:rFonts w:ascii="Arial" w:hAnsi="Arial"/>
              <w:b/>
            </w:rPr>
          </w:pPr>
          <w:r>
            <w:rPr>
              <w:rFonts w:ascii="Arial" w:hAnsi="Arial"/>
              <w:b/>
            </w:rPr>
            <w:t>Dienstverlening</w:t>
          </w:r>
        </w:p>
        <w:p w:rsidR="00DB188C" w:rsidRDefault="00DB188C" w:rsidP="00E16825">
          <w:pPr>
            <w:pStyle w:val="Koptekst"/>
            <w:rPr>
              <w:rFonts w:ascii="Arial" w:hAnsi="Arial"/>
              <w:b/>
            </w:rPr>
          </w:pPr>
          <w:r>
            <w:rPr>
              <w:rFonts w:ascii="Arial" w:hAnsi="Arial"/>
              <w:b/>
            </w:rPr>
            <w:t>Procedure</w:t>
          </w:r>
        </w:p>
        <w:p w:rsidR="00DB188C" w:rsidRDefault="00DB188C" w:rsidP="00E16825">
          <w:pPr>
            <w:pStyle w:val="Koptekst"/>
            <w:rPr>
              <w:rFonts w:ascii="Arial" w:hAnsi="Arial"/>
              <w:b/>
            </w:rPr>
          </w:pPr>
          <w:r>
            <w:rPr>
              <w:rFonts w:ascii="Arial" w:hAnsi="Arial"/>
              <w:b/>
            </w:rPr>
            <w:t>Preventie Misbruik &amp; Geweld</w:t>
          </w:r>
        </w:p>
        <w:p w:rsidR="00DB188C" w:rsidRDefault="00DB188C" w:rsidP="00BA67C9">
          <w:pPr>
            <w:pStyle w:val="Koptekst"/>
            <w:rPr>
              <w:rFonts w:ascii="Arial" w:hAnsi="Arial"/>
              <w:b/>
            </w:rPr>
          </w:pPr>
          <w:r>
            <w:rPr>
              <w:rFonts w:ascii="Arial" w:hAnsi="Arial"/>
              <w:b/>
            </w:rPr>
            <w:t xml:space="preserve">Relatievorming &amp; Seksualiteit: </w:t>
          </w:r>
          <w:r w:rsidR="00BA67C9">
            <w:rPr>
              <w:rFonts w:ascii="Arial" w:hAnsi="Arial"/>
              <w:b/>
            </w:rPr>
            <w:t>Reactiebeleid</w:t>
          </w:r>
        </w:p>
      </w:tc>
      <w:tc>
        <w:tcPr>
          <w:tcW w:w="2835" w:type="dxa"/>
        </w:tcPr>
        <w:p w:rsidR="00DB188C" w:rsidRDefault="00DB188C" w:rsidP="00E16825">
          <w:pPr>
            <w:pStyle w:val="Koptekst"/>
            <w:rPr>
              <w:rFonts w:ascii="Arial" w:hAnsi="Arial"/>
              <w:b/>
            </w:rPr>
          </w:pPr>
        </w:p>
        <w:p w:rsidR="00DB188C" w:rsidRDefault="001D2027" w:rsidP="00E16825">
          <w:pPr>
            <w:pStyle w:val="Koptekst"/>
            <w:rPr>
              <w:rFonts w:ascii="Arial" w:hAnsi="Arial"/>
              <w:b/>
            </w:rPr>
          </w:pPr>
          <w:r>
            <w:rPr>
              <w:rFonts w:ascii="Arial" w:hAnsi="Arial"/>
              <w:b/>
            </w:rPr>
            <w:t xml:space="preserve">Versie </w:t>
          </w:r>
          <w:r w:rsidR="00EB7E54">
            <w:rPr>
              <w:rFonts w:ascii="Arial" w:hAnsi="Arial"/>
              <w:b/>
            </w:rPr>
            <w:t>2016/1</w:t>
          </w:r>
        </w:p>
        <w:p w:rsidR="00DB188C" w:rsidRDefault="00DB188C" w:rsidP="00E16825">
          <w:pPr>
            <w:pStyle w:val="Koptekst"/>
            <w:rPr>
              <w:rFonts w:ascii="Arial" w:hAnsi="Arial"/>
              <w:b/>
            </w:rPr>
          </w:pPr>
          <w:r>
            <w:rPr>
              <w:rFonts w:ascii="Arial" w:hAnsi="Arial"/>
              <w:b/>
            </w:rPr>
            <w:t xml:space="preserve">Veerle De </w:t>
          </w:r>
          <w:proofErr w:type="spellStart"/>
          <w:r>
            <w:rPr>
              <w:rFonts w:ascii="Arial" w:hAnsi="Arial"/>
              <w:b/>
            </w:rPr>
            <w:t>Saedeleir</w:t>
          </w:r>
          <w:proofErr w:type="spellEnd"/>
          <w:r>
            <w:rPr>
              <w:rFonts w:ascii="Arial" w:hAnsi="Arial"/>
              <w:b/>
            </w:rPr>
            <w:t xml:space="preserve"> /  </w:t>
          </w:r>
          <w:r w:rsidR="007432FB">
            <w:rPr>
              <w:rFonts w:ascii="Arial" w:hAnsi="Arial"/>
              <w:b/>
            </w:rPr>
            <w:br/>
          </w:r>
          <w:smartTag w:uri="urn:schemas-microsoft-com:office:smarttags" w:element="PersonName">
            <w:r>
              <w:rPr>
                <w:rFonts w:ascii="Arial" w:hAnsi="Arial"/>
                <w:b/>
              </w:rPr>
              <w:t>An Bellemans</w:t>
            </w:r>
          </w:smartTag>
        </w:p>
        <w:p w:rsidR="00DB188C" w:rsidRDefault="00DB188C" w:rsidP="00E16825">
          <w:pPr>
            <w:pStyle w:val="Koptekst"/>
            <w:rPr>
              <w:rFonts w:ascii="Arial" w:hAnsi="Arial"/>
              <w:b/>
            </w:rPr>
          </w:pPr>
          <w:r>
            <w:rPr>
              <w:rFonts w:ascii="Arial" w:hAnsi="Arial"/>
              <w:b/>
            </w:rPr>
            <w:t>Evaluatiefrequentie: 2</w:t>
          </w:r>
        </w:p>
      </w:tc>
      <w:tc>
        <w:tcPr>
          <w:tcW w:w="567" w:type="dxa"/>
        </w:tcPr>
        <w:p w:rsidR="00DB188C" w:rsidRDefault="00DB188C" w:rsidP="00E16825">
          <w:pPr>
            <w:pStyle w:val="Koptekst"/>
            <w:rPr>
              <w:rStyle w:val="Paginanummer"/>
              <w:rFonts w:ascii="Arial" w:hAnsi="Arial"/>
              <w:b/>
            </w:rPr>
          </w:pPr>
        </w:p>
        <w:p w:rsidR="00DB188C" w:rsidRDefault="00DB188C" w:rsidP="00E16825">
          <w:pPr>
            <w:pStyle w:val="Koptekst"/>
            <w:rPr>
              <w:rFonts w:ascii="Arial" w:hAnsi="Arial"/>
              <w:b/>
            </w:rPr>
          </w:pPr>
          <w:r>
            <w:rPr>
              <w:rStyle w:val="Paginanummer"/>
              <w:rFonts w:ascii="Arial" w:hAnsi="Arial"/>
              <w:b/>
            </w:rPr>
            <w:fldChar w:fldCharType="begin"/>
          </w:r>
          <w:r>
            <w:rPr>
              <w:rStyle w:val="Paginanummer"/>
              <w:rFonts w:ascii="Arial" w:hAnsi="Arial"/>
              <w:b/>
            </w:rPr>
            <w:instrText xml:space="preserve"> PAGE </w:instrText>
          </w:r>
          <w:r>
            <w:rPr>
              <w:rStyle w:val="Paginanummer"/>
              <w:rFonts w:ascii="Arial" w:hAnsi="Arial"/>
              <w:b/>
            </w:rPr>
            <w:fldChar w:fldCharType="separate"/>
          </w:r>
          <w:r w:rsidR="007432FB">
            <w:rPr>
              <w:rStyle w:val="Paginanummer"/>
              <w:rFonts w:ascii="Arial" w:hAnsi="Arial"/>
              <w:b/>
              <w:noProof/>
            </w:rPr>
            <w:t>3</w:t>
          </w:r>
          <w:r>
            <w:rPr>
              <w:rStyle w:val="Paginanummer"/>
              <w:rFonts w:ascii="Arial" w:hAnsi="Arial"/>
              <w:b/>
            </w:rPr>
            <w:fldChar w:fldCharType="end"/>
          </w:r>
          <w:r>
            <w:rPr>
              <w:rStyle w:val="Paginanummer"/>
              <w:rFonts w:ascii="Arial" w:hAnsi="Arial"/>
              <w:b/>
            </w:rPr>
            <w:t>/</w:t>
          </w:r>
          <w:r>
            <w:rPr>
              <w:rStyle w:val="Paginanummer"/>
              <w:rFonts w:ascii="Arial" w:hAnsi="Arial"/>
              <w:b/>
            </w:rPr>
            <w:fldChar w:fldCharType="begin"/>
          </w:r>
          <w:r>
            <w:rPr>
              <w:rStyle w:val="Paginanummer"/>
              <w:rFonts w:ascii="Arial" w:hAnsi="Arial"/>
              <w:b/>
            </w:rPr>
            <w:instrText xml:space="preserve"> NUMPAGES </w:instrText>
          </w:r>
          <w:r>
            <w:rPr>
              <w:rStyle w:val="Paginanummer"/>
              <w:rFonts w:ascii="Arial" w:hAnsi="Arial"/>
              <w:b/>
            </w:rPr>
            <w:fldChar w:fldCharType="separate"/>
          </w:r>
          <w:r w:rsidR="007432FB">
            <w:rPr>
              <w:rStyle w:val="Paginanummer"/>
              <w:rFonts w:ascii="Arial" w:hAnsi="Arial"/>
              <w:b/>
              <w:noProof/>
            </w:rPr>
            <w:t>3</w:t>
          </w:r>
          <w:r>
            <w:rPr>
              <w:rStyle w:val="Paginanummer"/>
              <w:rFonts w:ascii="Arial" w:hAnsi="Arial"/>
              <w:b/>
            </w:rPr>
            <w:fldChar w:fldCharType="end"/>
          </w:r>
        </w:p>
      </w:tc>
    </w:tr>
  </w:tbl>
  <w:p w:rsidR="00C955E9" w:rsidRDefault="00C955E9" w:rsidP="00DB188C">
    <w:pPr>
      <w:pStyle w:val="Koptekst"/>
      <w:tabs>
        <w:tab w:val="left" w:pos="2835"/>
      </w:tabs>
      <w:rPr>
        <w:rFonts w:ascii="Arial" w:hAnsi="Arial"/>
        <w:sz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633F"/>
    <w:multiLevelType w:val="multilevel"/>
    <w:tmpl w:val="F80CA20A"/>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1" w15:restartNumberingAfterBreak="0">
    <w:nsid w:val="26CA518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72B4BE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EA7CAE"/>
    <w:multiLevelType w:val="hybridMultilevel"/>
    <w:tmpl w:val="2EC241A0"/>
    <w:lvl w:ilvl="0" w:tplc="E2B49700">
      <w:start w:val="1"/>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B32BB16">
      <w:numFmt w:val="bullet"/>
      <w:lvlText w:val=""/>
      <w:lvlJc w:val="left"/>
      <w:pPr>
        <w:ind w:left="4320" w:hanging="360"/>
      </w:pPr>
      <w:rPr>
        <w:rFonts w:ascii="Wingdings" w:eastAsia="Calibri" w:hAnsi="Wingdings" w:cs="Arial"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9130804"/>
    <w:multiLevelType w:val="hybridMultilevel"/>
    <w:tmpl w:val="471C5714"/>
    <w:lvl w:ilvl="0" w:tplc="1C2ACB00">
      <w:start w:val="1"/>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CF7742E"/>
    <w:multiLevelType w:val="multilevel"/>
    <w:tmpl w:val="54A827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D015F72"/>
    <w:multiLevelType w:val="hybridMultilevel"/>
    <w:tmpl w:val="B22249D8"/>
    <w:lvl w:ilvl="0" w:tplc="71C2A4E0">
      <w:start w:val="1"/>
      <w:numFmt w:val="bullet"/>
      <w:lvlText w:val=""/>
      <w:lvlJc w:val="left"/>
      <w:pPr>
        <w:ind w:left="720" w:hanging="360"/>
      </w:pPr>
      <w:rPr>
        <w:rFonts w:ascii="Wingdings" w:eastAsia="Calibri" w:hAnsi="Wingdings"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74D"/>
    <w:rsid w:val="0014313F"/>
    <w:rsid w:val="001A5344"/>
    <w:rsid w:val="001D2027"/>
    <w:rsid w:val="00201DFF"/>
    <w:rsid w:val="003D1E30"/>
    <w:rsid w:val="00461BF7"/>
    <w:rsid w:val="0046226D"/>
    <w:rsid w:val="005D274D"/>
    <w:rsid w:val="007432FB"/>
    <w:rsid w:val="00757894"/>
    <w:rsid w:val="00910986"/>
    <w:rsid w:val="00926DF4"/>
    <w:rsid w:val="00BA67C9"/>
    <w:rsid w:val="00C955E9"/>
    <w:rsid w:val="00DB188C"/>
    <w:rsid w:val="00E16825"/>
    <w:rsid w:val="00EB7E54"/>
    <w:rsid w:val="00F977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5:chartTrackingRefBased/>
  <w15:docId w15:val="{BF16D9DA-C94C-4DC3-9F2B-D23A799E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2"/>
      <w:lang w:val="nl-NL" w:eastAsia="nl-NL"/>
    </w:rPr>
  </w:style>
  <w:style w:type="paragraph" w:styleId="Kop1">
    <w:name w:val="heading 1"/>
    <w:basedOn w:val="Standaard"/>
    <w:next w:val="Standaard"/>
    <w:qFormat/>
    <w:pPr>
      <w:keepNext/>
      <w:spacing w:before="240" w:after="60"/>
      <w:outlineLvl w:val="0"/>
    </w:pPr>
    <w:rPr>
      <w:rFonts w:ascii="Arial" w:hAnsi="Arial"/>
      <w:b/>
      <w:kern w:val="28"/>
      <w:sz w:val="24"/>
    </w:rPr>
  </w:style>
  <w:style w:type="paragraph" w:styleId="Kop2">
    <w:name w:val="heading 2"/>
    <w:basedOn w:val="Standaard"/>
    <w:next w:val="Standaard"/>
    <w:qFormat/>
    <w:pPr>
      <w:keepNext/>
      <w:shd w:val="pct30" w:color="auto" w:fill="FFFFFF"/>
      <w:jc w:val="center"/>
      <w:outlineLvl w:val="1"/>
    </w:pPr>
    <w:rPr>
      <w:sz w:val="36"/>
    </w:rPr>
  </w:style>
  <w:style w:type="paragraph" w:styleId="Kop3">
    <w:name w:val="heading 3"/>
    <w:basedOn w:val="Standaard"/>
    <w:next w:val="Standaard"/>
    <w:qFormat/>
    <w:pPr>
      <w:keepNext/>
      <w:outlineLvl w:val="2"/>
    </w:pPr>
    <w:rPr>
      <w:rFonts w:ascii="Arial" w:hAnsi="Arial"/>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rPr>
      <w:sz w:val="20"/>
    </w:rPr>
  </w:style>
  <w:style w:type="character" w:styleId="Voetnootmarkering">
    <w:name w:val="footnote reference"/>
    <w:semiHidden/>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table" w:styleId="Tabelraster">
    <w:name w:val="Table Grid"/>
    <w:basedOn w:val="Standaardtabel"/>
    <w:rsid w:val="00DB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B188C"/>
    <w:rPr>
      <w:color w:val="0000FF"/>
      <w:u w:val="single"/>
    </w:rPr>
  </w:style>
  <w:style w:type="paragraph" w:styleId="Ballontekst">
    <w:name w:val="Balloon Text"/>
    <w:basedOn w:val="Standaard"/>
    <w:link w:val="BallontekstChar"/>
    <w:rsid w:val="00BA67C9"/>
    <w:rPr>
      <w:rFonts w:ascii="Tahoma" w:hAnsi="Tahoma" w:cs="Tahoma"/>
      <w:sz w:val="16"/>
      <w:szCs w:val="16"/>
    </w:rPr>
  </w:style>
  <w:style w:type="character" w:customStyle="1" w:styleId="BallontekstChar">
    <w:name w:val="Ballontekst Char"/>
    <w:link w:val="Ballontekst"/>
    <w:rsid w:val="00BA67C9"/>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9CB0E-DC41-4B2C-B7D1-05FF4D51DBDF}">
  <ds:schemaRefs>
    <ds:schemaRef ds:uri="http://purl.org/dc/term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D2BD89F-886D-4F6B-AA68-D0ECA61A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0DB05C-1CED-48E6-BDE7-3BA1DFB7C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786</Words>
  <Characters>4652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Seksueel gedrag van:</vt:lpstr>
    </vt:vector>
  </TitlesOfParts>
  <Company>MPI Oosterlo</Company>
  <LinksUpToDate>false</LinksUpToDate>
  <CharactersWithSpaces>5428</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2162721</vt:i4>
      </vt:variant>
      <vt:variant>
        <vt:i4>18</vt:i4>
      </vt:variant>
      <vt:variant>
        <vt:i4>0</vt:i4>
      </vt:variant>
      <vt:variant>
        <vt:i4>5</vt:i4>
      </vt:variant>
      <vt:variant>
        <vt:lpwstr>../../../../../../../../DavWWWRoot/kwaliteitkennis/intranetversie 09/02 Dienstverlening/02 Procedure/04 Preventie van misbruik en geweld/Relatievorming en seksualiteit/Agressiebeleid/Agressiebeleid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Seksueel gedrag van:</dc:title>
  <dc:subject/>
  <dc:creator>veerle</dc:creator>
  <cp:keywords/>
  <cp:lastModifiedBy>Dana Keustermans</cp:lastModifiedBy>
  <cp:revision>9</cp:revision>
  <cp:lastPrinted>2006-11-02T11:57:00Z</cp:lastPrinted>
  <dcterms:created xsi:type="dcterms:W3CDTF">2016-09-27T09:14:00Z</dcterms:created>
  <dcterms:modified xsi:type="dcterms:W3CDTF">2016-09-29T09:02:00Z</dcterms:modified>
</cp:coreProperties>
</file>