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1278"/>
        <w:gridCol w:w="1278"/>
        <w:gridCol w:w="2100"/>
      </w:tblGrid>
      <w:tr w:rsidR="009C4CAF" w:rsidRPr="00421B0A" w:rsidTr="009C4CAF">
        <w:tc>
          <w:tcPr>
            <w:tcW w:w="976" w:type="dxa"/>
            <w:tcBorders>
              <w:top w:val="single" w:sz="4" w:space="0" w:color="auto"/>
              <w:left w:val="single" w:sz="4" w:space="0" w:color="auto"/>
              <w:bottom w:val="single" w:sz="4" w:space="0" w:color="auto"/>
              <w:right w:val="single" w:sz="4" w:space="0" w:color="auto"/>
            </w:tcBorders>
            <w:shd w:val="clear" w:color="auto" w:fill="E6E6E6"/>
            <w:hideMark/>
          </w:tcPr>
          <w:p w:rsidR="009C4CAF" w:rsidRPr="00421B0A" w:rsidRDefault="009C4CAF" w:rsidP="007A66EB">
            <w:pPr>
              <w:rPr>
                <w:rFonts w:asciiTheme="minorHAnsi" w:hAnsiTheme="minorHAnsi" w:cs="Arial"/>
                <w:b/>
                <w:sz w:val="22"/>
                <w:szCs w:val="22"/>
              </w:rPr>
            </w:pPr>
            <w:bookmarkStart w:id="0" w:name="_GoBack" w:colFirst="0" w:colLast="0"/>
            <w:r w:rsidRPr="00421B0A">
              <w:rPr>
                <w:rFonts w:asciiTheme="minorHAnsi" w:hAnsiTheme="minorHAnsi" w:cs="Arial"/>
                <w:b/>
                <w:sz w:val="22"/>
                <w:szCs w:val="22"/>
              </w:rPr>
              <w:t>Versie</w:t>
            </w:r>
          </w:p>
        </w:tc>
        <w:tc>
          <w:tcPr>
            <w:tcW w:w="2556" w:type="dxa"/>
            <w:gridSpan w:val="2"/>
            <w:tcBorders>
              <w:top w:val="single" w:sz="4" w:space="0" w:color="auto"/>
              <w:left w:val="single" w:sz="4" w:space="0" w:color="auto"/>
              <w:bottom w:val="single" w:sz="4" w:space="0" w:color="auto"/>
              <w:right w:val="single" w:sz="4" w:space="0" w:color="auto"/>
            </w:tcBorders>
            <w:shd w:val="clear" w:color="auto" w:fill="E6E6E6"/>
            <w:hideMark/>
          </w:tcPr>
          <w:p w:rsidR="009C4CAF" w:rsidRPr="00421B0A" w:rsidRDefault="009C4CAF" w:rsidP="007A66EB">
            <w:pPr>
              <w:rPr>
                <w:rFonts w:asciiTheme="minorHAnsi" w:hAnsiTheme="minorHAnsi" w:cs="Arial"/>
                <w:b/>
                <w:sz w:val="22"/>
                <w:szCs w:val="22"/>
              </w:rPr>
            </w:pPr>
            <w:r w:rsidRPr="00421B0A">
              <w:rPr>
                <w:rFonts w:asciiTheme="minorHAnsi" w:hAnsiTheme="minorHAnsi" w:cs="Arial"/>
                <w:b/>
                <w:sz w:val="22"/>
                <w:szCs w:val="22"/>
              </w:rPr>
              <w:t>Geldig van tot</w:t>
            </w:r>
          </w:p>
        </w:tc>
        <w:tc>
          <w:tcPr>
            <w:tcW w:w="2100" w:type="dxa"/>
            <w:tcBorders>
              <w:top w:val="single" w:sz="4" w:space="0" w:color="auto"/>
              <w:left w:val="single" w:sz="4" w:space="0" w:color="auto"/>
              <w:bottom w:val="single" w:sz="4" w:space="0" w:color="auto"/>
              <w:right w:val="single" w:sz="4" w:space="0" w:color="auto"/>
            </w:tcBorders>
            <w:shd w:val="clear" w:color="auto" w:fill="E6E6E6"/>
            <w:hideMark/>
          </w:tcPr>
          <w:p w:rsidR="009C4CAF" w:rsidRPr="00421B0A" w:rsidRDefault="009C4CAF" w:rsidP="007A66EB">
            <w:pPr>
              <w:rPr>
                <w:rFonts w:asciiTheme="minorHAnsi" w:hAnsiTheme="minorHAnsi" w:cs="Arial"/>
                <w:b/>
                <w:sz w:val="22"/>
                <w:szCs w:val="22"/>
              </w:rPr>
            </w:pPr>
            <w:r w:rsidRPr="00421B0A">
              <w:rPr>
                <w:rFonts w:asciiTheme="minorHAnsi" w:hAnsiTheme="minorHAnsi" w:cs="Arial"/>
                <w:b/>
                <w:sz w:val="22"/>
                <w:szCs w:val="22"/>
              </w:rPr>
              <w:t>Evaluatie</w:t>
            </w:r>
          </w:p>
        </w:tc>
      </w:tr>
      <w:tr w:rsidR="009C4CAF" w:rsidRPr="009C4CAF" w:rsidTr="00411BAB">
        <w:tc>
          <w:tcPr>
            <w:tcW w:w="976" w:type="dxa"/>
            <w:tcBorders>
              <w:top w:val="single" w:sz="4" w:space="0" w:color="auto"/>
              <w:left w:val="single" w:sz="4" w:space="0" w:color="auto"/>
              <w:bottom w:val="single" w:sz="4" w:space="0" w:color="auto"/>
              <w:right w:val="single" w:sz="4" w:space="0" w:color="auto"/>
            </w:tcBorders>
            <w:shd w:val="clear" w:color="auto" w:fill="auto"/>
          </w:tcPr>
          <w:p w:rsidR="009C4CAF" w:rsidRPr="009C4CAF" w:rsidRDefault="009C4CAF" w:rsidP="007A66EB">
            <w:pPr>
              <w:rPr>
                <w:rFonts w:asciiTheme="minorHAnsi" w:hAnsiTheme="minorHAnsi" w:cs="Arial"/>
                <w:sz w:val="22"/>
                <w:szCs w:val="22"/>
              </w:rPr>
            </w:pPr>
            <w:r>
              <w:rPr>
                <w:rFonts w:asciiTheme="minorHAnsi" w:hAnsiTheme="minorHAnsi" w:cs="Arial"/>
                <w:sz w:val="22"/>
                <w:szCs w:val="22"/>
              </w:rPr>
              <w:t>2016/1</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9C4CAF" w:rsidRPr="009C4CAF" w:rsidRDefault="009C4CAF" w:rsidP="007A66EB">
            <w:pPr>
              <w:rPr>
                <w:rFonts w:asciiTheme="minorHAnsi" w:hAnsiTheme="minorHAnsi" w:cs="Arial"/>
                <w:sz w:val="22"/>
                <w:szCs w:val="22"/>
              </w:rPr>
            </w:pPr>
            <w:r>
              <w:rPr>
                <w:rFonts w:asciiTheme="minorHAnsi" w:hAnsiTheme="minorHAnsi" w:cs="Arial"/>
                <w:sz w:val="22"/>
                <w:szCs w:val="22"/>
              </w:rPr>
              <w:t>29/09/</w:t>
            </w:r>
            <w:r w:rsidR="00F729B3">
              <w:rPr>
                <w:rFonts w:asciiTheme="minorHAnsi" w:hAnsiTheme="minorHAnsi" w:cs="Arial"/>
                <w:sz w:val="22"/>
                <w:szCs w:val="22"/>
              </w:rPr>
              <w:t>2016</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9C4CAF" w:rsidRPr="009C4CAF" w:rsidRDefault="00F729B3" w:rsidP="007A66EB">
            <w:pPr>
              <w:rPr>
                <w:rFonts w:asciiTheme="minorHAnsi" w:hAnsiTheme="minorHAnsi" w:cs="Arial"/>
                <w:sz w:val="22"/>
                <w:szCs w:val="22"/>
              </w:rPr>
            </w:pPr>
            <w:r>
              <w:rPr>
                <w:rFonts w:asciiTheme="minorHAnsi" w:hAnsiTheme="minorHAnsi" w:cs="Arial"/>
                <w:sz w:val="22"/>
                <w:szCs w:val="22"/>
              </w:rPr>
              <w:t>29/09/2018</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9C4CAF" w:rsidRPr="009C4CAF" w:rsidRDefault="00F729B3" w:rsidP="007A66EB">
            <w:pPr>
              <w:rPr>
                <w:rFonts w:asciiTheme="minorHAnsi" w:hAnsiTheme="minorHAnsi" w:cs="Arial"/>
                <w:sz w:val="22"/>
                <w:szCs w:val="22"/>
              </w:rPr>
            </w:pPr>
            <w:r>
              <w:rPr>
                <w:rFonts w:asciiTheme="minorHAnsi" w:hAnsiTheme="minorHAnsi" w:cs="Arial"/>
                <w:sz w:val="22"/>
                <w:szCs w:val="22"/>
              </w:rPr>
              <w:t>2018</w:t>
            </w:r>
          </w:p>
        </w:tc>
      </w:tr>
      <w:tr w:rsidR="009C4CAF" w:rsidTr="009C4CAF">
        <w:tc>
          <w:tcPr>
            <w:tcW w:w="976" w:type="dxa"/>
            <w:tcBorders>
              <w:top w:val="single" w:sz="4" w:space="0" w:color="auto"/>
              <w:left w:val="single" w:sz="4" w:space="0" w:color="auto"/>
              <w:bottom w:val="single" w:sz="4" w:space="0" w:color="auto"/>
              <w:right w:val="single" w:sz="4" w:space="0" w:color="auto"/>
            </w:tcBorders>
          </w:tcPr>
          <w:p w:rsidR="009C4CAF" w:rsidRPr="00421B0A" w:rsidRDefault="009C4CAF" w:rsidP="007A66EB">
            <w:pPr>
              <w:rPr>
                <w:rFonts w:asciiTheme="minorHAnsi" w:hAnsiTheme="minorHAnsi" w:cs="Arial"/>
                <w:sz w:val="22"/>
                <w:szCs w:val="22"/>
              </w:rPr>
            </w:pPr>
            <w:r>
              <w:rPr>
                <w:rFonts w:asciiTheme="minorHAnsi" w:hAnsiTheme="minorHAnsi" w:cs="Arial"/>
                <w:sz w:val="22"/>
                <w:szCs w:val="22"/>
              </w:rPr>
              <w:t>2022/1</w:t>
            </w:r>
          </w:p>
        </w:tc>
        <w:tc>
          <w:tcPr>
            <w:tcW w:w="1278" w:type="dxa"/>
            <w:tcBorders>
              <w:top w:val="single" w:sz="4" w:space="0" w:color="auto"/>
              <w:left w:val="single" w:sz="4" w:space="0" w:color="auto"/>
              <w:bottom w:val="single" w:sz="4" w:space="0" w:color="auto"/>
              <w:right w:val="single" w:sz="4" w:space="0" w:color="auto"/>
            </w:tcBorders>
          </w:tcPr>
          <w:p w:rsidR="009C4CAF" w:rsidRPr="00421B0A" w:rsidRDefault="009C4CAF" w:rsidP="007A66EB">
            <w:pPr>
              <w:rPr>
                <w:rFonts w:asciiTheme="minorHAnsi" w:hAnsiTheme="minorHAnsi" w:cs="Arial"/>
                <w:sz w:val="22"/>
                <w:szCs w:val="22"/>
              </w:rPr>
            </w:pPr>
            <w:r>
              <w:rPr>
                <w:rFonts w:asciiTheme="minorHAnsi" w:hAnsiTheme="minorHAnsi" w:cs="Arial"/>
                <w:sz w:val="22"/>
                <w:szCs w:val="22"/>
              </w:rPr>
              <w:t>19/07/2022</w:t>
            </w:r>
          </w:p>
        </w:tc>
        <w:tc>
          <w:tcPr>
            <w:tcW w:w="1278" w:type="dxa"/>
            <w:tcBorders>
              <w:top w:val="single" w:sz="4" w:space="0" w:color="auto"/>
              <w:left w:val="single" w:sz="4" w:space="0" w:color="auto"/>
              <w:bottom w:val="single" w:sz="4" w:space="0" w:color="auto"/>
              <w:right w:val="single" w:sz="4" w:space="0" w:color="auto"/>
            </w:tcBorders>
          </w:tcPr>
          <w:p w:rsidR="009C4CAF" w:rsidRPr="00421B0A" w:rsidRDefault="009C4CAF" w:rsidP="007A66EB">
            <w:pPr>
              <w:rPr>
                <w:rFonts w:asciiTheme="minorHAnsi" w:hAnsiTheme="minorHAnsi" w:cs="Arial"/>
                <w:sz w:val="22"/>
                <w:szCs w:val="22"/>
              </w:rPr>
            </w:pPr>
            <w:r>
              <w:rPr>
                <w:rFonts w:asciiTheme="minorHAnsi" w:hAnsiTheme="minorHAnsi" w:cs="Arial"/>
                <w:sz w:val="22"/>
                <w:szCs w:val="22"/>
              </w:rPr>
              <w:t>19/07/2024</w:t>
            </w:r>
          </w:p>
        </w:tc>
        <w:tc>
          <w:tcPr>
            <w:tcW w:w="2100" w:type="dxa"/>
            <w:tcBorders>
              <w:top w:val="single" w:sz="4" w:space="0" w:color="auto"/>
              <w:left w:val="single" w:sz="4" w:space="0" w:color="auto"/>
              <w:bottom w:val="single" w:sz="4" w:space="0" w:color="auto"/>
              <w:right w:val="single" w:sz="4" w:space="0" w:color="auto"/>
            </w:tcBorders>
          </w:tcPr>
          <w:p w:rsidR="009C4CAF" w:rsidRPr="00421B0A" w:rsidRDefault="009C4CAF" w:rsidP="007A66EB">
            <w:pPr>
              <w:rPr>
                <w:rFonts w:asciiTheme="minorHAnsi" w:hAnsiTheme="minorHAnsi" w:cs="Arial"/>
                <w:sz w:val="22"/>
                <w:szCs w:val="22"/>
              </w:rPr>
            </w:pPr>
            <w:r>
              <w:rPr>
                <w:rFonts w:asciiTheme="minorHAnsi" w:hAnsiTheme="minorHAnsi" w:cs="Arial"/>
                <w:sz w:val="22"/>
                <w:szCs w:val="22"/>
              </w:rPr>
              <w:t>2024</w:t>
            </w:r>
          </w:p>
        </w:tc>
      </w:tr>
      <w:tr w:rsidR="009C4CAF" w:rsidTr="009C4CAF">
        <w:tc>
          <w:tcPr>
            <w:tcW w:w="976" w:type="dxa"/>
            <w:tcBorders>
              <w:top w:val="single" w:sz="4" w:space="0" w:color="auto"/>
              <w:left w:val="single" w:sz="4" w:space="0" w:color="auto"/>
              <w:bottom w:val="single" w:sz="4" w:space="0" w:color="auto"/>
              <w:right w:val="single" w:sz="4" w:space="0" w:color="auto"/>
            </w:tcBorders>
          </w:tcPr>
          <w:p w:rsidR="009C4CAF" w:rsidRPr="00421B0A" w:rsidRDefault="009C4CAF" w:rsidP="007A66EB">
            <w:pPr>
              <w:rPr>
                <w:rFonts w:asciiTheme="minorHAnsi" w:hAnsiTheme="minorHAnsi" w:cs="Arial"/>
                <w:sz w:val="22"/>
                <w:szCs w:val="22"/>
              </w:rPr>
            </w:pPr>
            <w:r>
              <w:rPr>
                <w:rFonts w:asciiTheme="minorHAnsi" w:hAnsiTheme="minorHAnsi" w:cs="Arial"/>
                <w:sz w:val="22"/>
                <w:szCs w:val="22"/>
              </w:rPr>
              <w:t>2025/1</w:t>
            </w:r>
          </w:p>
        </w:tc>
        <w:tc>
          <w:tcPr>
            <w:tcW w:w="1278" w:type="dxa"/>
            <w:tcBorders>
              <w:top w:val="single" w:sz="4" w:space="0" w:color="auto"/>
              <w:left w:val="single" w:sz="4" w:space="0" w:color="auto"/>
              <w:bottom w:val="single" w:sz="4" w:space="0" w:color="auto"/>
              <w:right w:val="single" w:sz="4" w:space="0" w:color="auto"/>
            </w:tcBorders>
          </w:tcPr>
          <w:p w:rsidR="009C4CAF" w:rsidRPr="00421B0A" w:rsidRDefault="009C4CAF" w:rsidP="007A66EB">
            <w:pPr>
              <w:rPr>
                <w:rFonts w:asciiTheme="minorHAnsi" w:hAnsiTheme="minorHAnsi" w:cs="Arial"/>
                <w:sz w:val="22"/>
                <w:szCs w:val="22"/>
              </w:rPr>
            </w:pPr>
            <w:r>
              <w:rPr>
                <w:rFonts w:asciiTheme="minorHAnsi" w:hAnsiTheme="minorHAnsi" w:cs="Arial"/>
                <w:sz w:val="22"/>
                <w:szCs w:val="22"/>
              </w:rPr>
              <w:t>26/03/2025</w:t>
            </w:r>
          </w:p>
        </w:tc>
        <w:tc>
          <w:tcPr>
            <w:tcW w:w="1278" w:type="dxa"/>
            <w:tcBorders>
              <w:top w:val="single" w:sz="4" w:space="0" w:color="auto"/>
              <w:left w:val="single" w:sz="4" w:space="0" w:color="auto"/>
              <w:bottom w:val="single" w:sz="4" w:space="0" w:color="auto"/>
              <w:right w:val="single" w:sz="4" w:space="0" w:color="auto"/>
            </w:tcBorders>
          </w:tcPr>
          <w:p w:rsidR="009C4CAF" w:rsidRPr="00421B0A" w:rsidRDefault="009C4CAF" w:rsidP="007A66EB">
            <w:pPr>
              <w:rPr>
                <w:rFonts w:asciiTheme="minorHAnsi" w:hAnsiTheme="minorHAnsi" w:cs="Arial"/>
                <w:sz w:val="22"/>
                <w:szCs w:val="22"/>
              </w:rPr>
            </w:pPr>
            <w:r>
              <w:rPr>
                <w:rFonts w:asciiTheme="minorHAnsi" w:hAnsiTheme="minorHAnsi" w:cs="Arial"/>
                <w:sz w:val="22"/>
                <w:szCs w:val="22"/>
              </w:rPr>
              <w:t>26/03/2027</w:t>
            </w:r>
          </w:p>
        </w:tc>
        <w:tc>
          <w:tcPr>
            <w:tcW w:w="2100" w:type="dxa"/>
            <w:tcBorders>
              <w:top w:val="single" w:sz="4" w:space="0" w:color="auto"/>
              <w:left w:val="single" w:sz="4" w:space="0" w:color="auto"/>
              <w:bottom w:val="single" w:sz="4" w:space="0" w:color="auto"/>
              <w:right w:val="single" w:sz="4" w:space="0" w:color="auto"/>
            </w:tcBorders>
          </w:tcPr>
          <w:p w:rsidR="009C4CAF" w:rsidRPr="00421B0A" w:rsidRDefault="009C4CAF" w:rsidP="007A66EB">
            <w:pPr>
              <w:rPr>
                <w:rFonts w:asciiTheme="minorHAnsi" w:hAnsiTheme="minorHAnsi" w:cs="Arial"/>
                <w:sz w:val="22"/>
                <w:szCs w:val="22"/>
              </w:rPr>
            </w:pPr>
            <w:r>
              <w:rPr>
                <w:rFonts w:asciiTheme="minorHAnsi" w:hAnsiTheme="minorHAnsi" w:cs="Arial"/>
                <w:sz w:val="22"/>
                <w:szCs w:val="22"/>
              </w:rPr>
              <w:t>2027</w:t>
            </w:r>
          </w:p>
        </w:tc>
      </w:tr>
      <w:bookmarkEnd w:id="0"/>
    </w:tbl>
    <w:p w:rsidR="00217EB5" w:rsidRPr="00ED16D4" w:rsidRDefault="00217EB5" w:rsidP="00217EB5">
      <w:pPr>
        <w:rPr>
          <w:rFonts w:ascii="Arial" w:hAnsi="Arial" w:cs="Arial"/>
        </w:rPr>
      </w:pPr>
    </w:p>
    <w:p w:rsidR="00F729B3" w:rsidRPr="00421B0A" w:rsidRDefault="00F729B3" w:rsidP="00F729B3">
      <w:pPr>
        <w:numPr>
          <w:ilvl w:val="0"/>
          <w:numId w:val="1"/>
        </w:numPr>
        <w:tabs>
          <w:tab w:val="clear" w:pos="720"/>
          <w:tab w:val="num" w:pos="284"/>
        </w:tabs>
        <w:rPr>
          <w:rFonts w:asciiTheme="minorHAnsi" w:hAnsiTheme="minorHAnsi" w:cs="Arial"/>
          <w:b/>
          <w:sz w:val="22"/>
          <w:szCs w:val="22"/>
        </w:rPr>
      </w:pPr>
      <w:r>
        <w:rPr>
          <w:rFonts w:asciiTheme="minorHAnsi" w:hAnsiTheme="minorHAnsi" w:cs="Arial"/>
          <w:b/>
          <w:sz w:val="22"/>
          <w:szCs w:val="22"/>
        </w:rPr>
        <w:t xml:space="preserve">Beschrijving </w:t>
      </w:r>
      <w:r w:rsidRPr="00421B0A">
        <w:rPr>
          <w:rFonts w:asciiTheme="minorHAnsi" w:hAnsiTheme="minorHAnsi" w:cs="Arial"/>
          <w:b/>
          <w:sz w:val="22"/>
          <w:szCs w:val="22"/>
        </w:rPr>
        <w:t xml:space="preserve">van de procedure: </w:t>
      </w:r>
    </w:p>
    <w:p w:rsidR="00F729B3" w:rsidRDefault="00F729B3" w:rsidP="00F729B3">
      <w:pPr>
        <w:rPr>
          <w:rFonts w:asciiTheme="minorHAnsi" w:hAnsiTheme="minorHAnsi" w:cs="Arial"/>
          <w:sz w:val="22"/>
          <w:szCs w:val="22"/>
        </w:rPr>
      </w:pPr>
    </w:p>
    <w:p w:rsidR="00F729B3" w:rsidRPr="004B7E13" w:rsidRDefault="00F729B3" w:rsidP="00F729B3">
      <w:pPr>
        <w:pStyle w:val="Lijstalinea"/>
        <w:numPr>
          <w:ilvl w:val="0"/>
          <w:numId w:val="4"/>
        </w:numPr>
        <w:spacing w:line="276" w:lineRule="auto"/>
        <w:ind w:left="709"/>
        <w:jc w:val="both"/>
        <w:outlineLvl w:val="0"/>
        <w:rPr>
          <w:rFonts w:asciiTheme="minorHAnsi" w:eastAsiaTheme="minorHAnsi" w:hAnsiTheme="minorHAnsi" w:cstheme="minorBidi"/>
          <w:b/>
          <w:color w:val="009999"/>
        </w:rPr>
      </w:pPr>
      <w:r w:rsidRPr="004B7E13">
        <w:rPr>
          <w:rFonts w:asciiTheme="minorHAnsi" w:eastAsiaTheme="minorHAnsi" w:hAnsiTheme="minorHAnsi" w:cstheme="minorBidi"/>
          <w:b/>
          <w:color w:val="009999"/>
        </w:rPr>
        <w:t>Aandacht voor positieve seksualiteitsontwikkeling</w:t>
      </w:r>
      <w:r w:rsidRPr="004B7E13">
        <w:rPr>
          <w:rFonts w:asciiTheme="minorHAnsi" w:eastAsiaTheme="minorHAnsi" w:hAnsiTheme="minorHAnsi" w:cstheme="minorBidi"/>
          <w:color w:val="009999"/>
        </w:rPr>
        <w:t xml:space="preserve"> </w:t>
      </w: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De visie beschreef uitvoerig het belang van de seksuele ontwikkeling. In de ontwikkeling, in de opvoeding, plaats voorzien en aandacht besteden aan seksuele gezondheid is zonder meer een belangrijk element in het opgroeien tot gezonde en verantwoorde mensen met een beperking. We kunnen, en willen, als voorziening dit belang niet negeren. Het is belangrijk dat cliënten binnen een veilig en positief leefklimaat hun seksualiteitsbeleving kunnen ontdekken. Hierdoor is het noodzakelijk dat we aandacht geven aan een positieve seksuele ontwikkeling: </w:t>
      </w:r>
      <w:r w:rsidRPr="00F729B3">
        <w:rPr>
          <w:rFonts w:asciiTheme="minorHAnsi" w:eastAsiaTheme="minorHAnsi" w:hAnsiTheme="minorHAnsi" w:cstheme="minorBidi"/>
          <w:i/>
          <w:sz w:val="22"/>
          <w:szCs w:val="22"/>
          <w:lang w:val="nl-BE" w:eastAsia="en-US"/>
        </w:rPr>
        <w:t>“wat mag er WEL”</w:t>
      </w:r>
      <w:r w:rsidRPr="00F729B3">
        <w:rPr>
          <w:rFonts w:asciiTheme="minorHAnsi" w:eastAsiaTheme="minorHAnsi" w:hAnsiTheme="minorHAnsi" w:cstheme="minorBidi"/>
          <w:sz w:val="22"/>
          <w:szCs w:val="22"/>
          <w:lang w:val="nl-BE" w:eastAsia="en-US"/>
        </w:rPr>
        <w:t xml:space="preserve">. Cliënten zitten vaak met vragen, verschillende gevoelens of zaken die heel wat teweeg kunnen brengen. Als we als organisatie proactief hiermee aan de slag gaan, kunnen we in de toekomst eventuele seksuele frustratie of (seksueel) grensoverschrijdend gedrag vermijden. Dit vraagt ook van een team een meer open houding en een samen zoeken met de context naar wat de cliënt nodig heeft. </w:t>
      </w:r>
    </w:p>
    <w:p w:rsidR="00F729B3" w:rsidRPr="00F729B3" w:rsidRDefault="00F729B3" w:rsidP="00F729B3">
      <w:pPr>
        <w:jc w:val="both"/>
        <w:rPr>
          <w:rFonts w:asciiTheme="minorHAnsi" w:eastAsiaTheme="minorHAnsi" w:hAnsiTheme="minorHAnsi" w:cstheme="minorBidi"/>
          <w:sz w:val="22"/>
          <w:szCs w:val="22"/>
          <w:lang w:val="nl-BE" w:eastAsia="en-US"/>
        </w:rPr>
      </w:pP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Anderzijds vraagt het samenleven van jongeren met een beperking kaders en regels die de persoonlijke integriteit van mensen moeten veilig stellen. Naast een grote focus op het positieve, is  het van belang dat we ook de veiligheid voor iedereen kunnen blijven garanderen waardoor bepaalde grenzen en verwachtingen; </w:t>
      </w:r>
      <w:r w:rsidRPr="00F729B3">
        <w:rPr>
          <w:rFonts w:asciiTheme="minorHAnsi" w:eastAsiaTheme="minorHAnsi" w:hAnsiTheme="minorHAnsi" w:cstheme="minorBidi"/>
          <w:i/>
          <w:sz w:val="22"/>
          <w:szCs w:val="22"/>
          <w:lang w:val="nl-BE" w:eastAsia="en-US"/>
        </w:rPr>
        <w:t>“wat kan niet”</w:t>
      </w:r>
      <w:r w:rsidRPr="00F729B3">
        <w:rPr>
          <w:rFonts w:asciiTheme="minorHAnsi" w:eastAsiaTheme="minorHAnsi" w:hAnsiTheme="minorHAnsi" w:cstheme="minorBidi"/>
          <w:sz w:val="22"/>
          <w:szCs w:val="22"/>
          <w:lang w:val="nl-BE" w:eastAsia="en-US"/>
        </w:rPr>
        <w:t xml:space="preserve">, binnen elke leefgroep duidelijk moeten zijn voor iedereen. </w:t>
      </w: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Meteen zitten we midden in het spanningsveld waarin een voorziening als de onze zich bevindt:</w:t>
      </w:r>
    </w:p>
    <w:p w:rsidR="00F729B3" w:rsidRPr="00F729B3" w:rsidRDefault="00F729B3" w:rsidP="00F729B3">
      <w:pPr>
        <w:numPr>
          <w:ilvl w:val="0"/>
          <w:numId w:val="3"/>
        </w:numPr>
        <w:ind w:left="993"/>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persoonlijke integriteit beschermen en begrenzen </w:t>
      </w:r>
    </w:p>
    <w:p w:rsidR="00F729B3" w:rsidRPr="00F729B3" w:rsidRDefault="00F729B3" w:rsidP="00F729B3">
      <w:pPr>
        <w:numPr>
          <w:ilvl w:val="0"/>
          <w:numId w:val="3"/>
        </w:numPr>
        <w:ind w:left="993"/>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nood aan experimenteren van individuen </w:t>
      </w:r>
    </w:p>
    <w:p w:rsidR="00F729B3" w:rsidRPr="00F729B3" w:rsidRDefault="00F729B3" w:rsidP="00F729B3">
      <w:pPr>
        <w:numPr>
          <w:ilvl w:val="0"/>
          <w:numId w:val="3"/>
        </w:numPr>
        <w:ind w:left="993"/>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verkennen van de eigen seksualiteitsbeleving</w:t>
      </w:r>
    </w:p>
    <w:p w:rsidR="00F729B3" w:rsidRPr="00F729B3" w:rsidRDefault="00F729B3" w:rsidP="00F729B3">
      <w:pPr>
        <w:jc w:val="both"/>
        <w:rPr>
          <w:rFonts w:asciiTheme="minorHAnsi" w:eastAsiaTheme="minorHAnsi" w:hAnsiTheme="minorHAnsi" w:cstheme="minorBidi"/>
          <w:sz w:val="22"/>
          <w:szCs w:val="22"/>
          <w:lang w:val="nl-BE" w:eastAsia="en-US"/>
        </w:rPr>
      </w:pP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Het verzoenen van beide wegen (wat kan wel en wat kan niet) zal per leefgroep en cliënt een andere invulling krijgen. Het kan gaan van gebruik maken van sensopathisch materiaal, gebruik hulpmiddelen (boekjes, glijmiddel…), werken met relatieplannen tot seksuele dienstverlening voor onze volwassen cliënten, maar eveneens de focus leggen op </w:t>
      </w:r>
      <w:proofErr w:type="spellStart"/>
      <w:r w:rsidRPr="00F729B3">
        <w:rPr>
          <w:rFonts w:asciiTheme="minorHAnsi" w:eastAsiaTheme="minorHAnsi" w:hAnsiTheme="minorHAnsi" w:cstheme="minorBidi"/>
          <w:sz w:val="22"/>
          <w:szCs w:val="22"/>
          <w:lang w:val="nl-BE" w:eastAsia="en-US"/>
        </w:rPr>
        <w:t>vrijheidsbeperkende</w:t>
      </w:r>
      <w:proofErr w:type="spellEnd"/>
      <w:r w:rsidRPr="00F729B3">
        <w:rPr>
          <w:rFonts w:asciiTheme="minorHAnsi" w:eastAsiaTheme="minorHAnsi" w:hAnsiTheme="minorHAnsi" w:cstheme="minorBidi"/>
          <w:sz w:val="22"/>
          <w:szCs w:val="22"/>
          <w:lang w:val="nl-BE" w:eastAsia="en-US"/>
        </w:rPr>
        <w:t xml:space="preserve"> maatregelen om de veiligheid van andere cliënten te kunnen garanderen indien dit nodig is. Belangrijk is het steeds op maat werken en duidelijke afspraken te maken binnen de leefgroep. </w:t>
      </w:r>
    </w:p>
    <w:p w:rsidR="00F729B3" w:rsidRPr="00F729B3" w:rsidRDefault="00F729B3" w:rsidP="00F729B3">
      <w:pPr>
        <w:ind w:left="426"/>
        <w:jc w:val="both"/>
        <w:rPr>
          <w:rFonts w:asciiTheme="minorHAnsi" w:eastAsiaTheme="minorHAnsi" w:hAnsiTheme="minorHAnsi" w:cstheme="minorBidi"/>
          <w:sz w:val="22"/>
          <w:szCs w:val="22"/>
          <w:lang w:val="nl-BE" w:eastAsia="en-US"/>
        </w:rPr>
      </w:pP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Het is tot slot ook belangrijk dat we rekening houden met het gegeven dat elke  cliënt recht heeft op privacy als het aankomt op ontdekken van seksualiteit, ongeacht de aard van de beperking van de cliënt. We gaan er al vaak te snel van uit dat bepaalde cliënten hier geen nood aan hebben. We moeten alert zijn dat we hiervoor toch de nodige veilige ruimte en privacy voor creëren in ons </w:t>
      </w:r>
      <w:proofErr w:type="spellStart"/>
      <w:r w:rsidRPr="00F729B3">
        <w:rPr>
          <w:rFonts w:asciiTheme="minorHAnsi" w:eastAsiaTheme="minorHAnsi" w:hAnsiTheme="minorHAnsi" w:cstheme="minorBidi"/>
          <w:sz w:val="22"/>
          <w:szCs w:val="22"/>
          <w:lang w:val="nl-BE" w:eastAsia="en-US"/>
        </w:rPr>
        <w:t>leefgroepwerkingen</w:t>
      </w:r>
      <w:proofErr w:type="spellEnd"/>
      <w:r w:rsidRPr="00F729B3">
        <w:rPr>
          <w:rFonts w:asciiTheme="minorHAnsi" w:eastAsiaTheme="minorHAnsi" w:hAnsiTheme="minorHAnsi" w:cstheme="minorBidi"/>
          <w:sz w:val="22"/>
          <w:szCs w:val="22"/>
          <w:lang w:val="nl-BE" w:eastAsia="en-US"/>
        </w:rPr>
        <w:t xml:space="preserve">. </w:t>
      </w:r>
    </w:p>
    <w:p w:rsidR="00F729B3" w:rsidRPr="00F729B3" w:rsidRDefault="00F729B3" w:rsidP="00F729B3">
      <w:pPr>
        <w:jc w:val="both"/>
        <w:rPr>
          <w:rFonts w:asciiTheme="minorHAnsi" w:eastAsiaTheme="minorHAnsi" w:hAnsiTheme="minorHAnsi" w:cstheme="minorBidi"/>
          <w:sz w:val="22"/>
          <w:szCs w:val="22"/>
          <w:lang w:val="nl-BE" w:eastAsia="en-US"/>
        </w:rPr>
      </w:pPr>
    </w:p>
    <w:p w:rsidR="00F729B3" w:rsidRPr="004B7E13" w:rsidRDefault="00F729B3" w:rsidP="00F729B3">
      <w:pPr>
        <w:pStyle w:val="Lijstalinea"/>
        <w:keepNext/>
        <w:keepLines/>
        <w:numPr>
          <w:ilvl w:val="0"/>
          <w:numId w:val="4"/>
        </w:numPr>
        <w:ind w:left="709"/>
        <w:jc w:val="both"/>
        <w:outlineLvl w:val="0"/>
        <w:rPr>
          <w:rFonts w:asciiTheme="minorHAnsi" w:eastAsiaTheme="minorHAnsi" w:hAnsiTheme="minorHAnsi" w:cstheme="minorBidi"/>
          <w:b/>
          <w:color w:val="009999"/>
        </w:rPr>
      </w:pPr>
      <w:r w:rsidRPr="004B7E13">
        <w:rPr>
          <w:rFonts w:asciiTheme="minorHAnsi" w:eastAsiaTheme="minorHAnsi" w:hAnsiTheme="minorHAnsi" w:cstheme="minorBidi"/>
          <w:b/>
          <w:color w:val="009999"/>
        </w:rPr>
        <w:lastRenderedPageBreak/>
        <w:t xml:space="preserve">Valkuilen en handvaten voor seksualiteitsbeleving </w:t>
      </w:r>
      <w:r w:rsidRPr="004B7E13">
        <w:rPr>
          <w:rFonts w:asciiTheme="minorHAnsi" w:eastAsiaTheme="minorHAnsi" w:hAnsiTheme="minorHAnsi" w:cstheme="minorBidi"/>
          <w:color w:val="FF0000"/>
        </w:rPr>
        <w:t xml:space="preserve"> </w:t>
      </w:r>
    </w:p>
    <w:p w:rsidR="00F729B3" w:rsidRPr="00F729B3" w:rsidRDefault="00F729B3" w:rsidP="00F729B3">
      <w:pPr>
        <w:keepNext/>
        <w:keepLines/>
        <w:ind w:left="426"/>
        <w:jc w:val="both"/>
        <w:rPr>
          <w:rFonts w:asciiTheme="minorHAnsi" w:eastAsiaTheme="minorHAnsi" w:hAnsiTheme="minorHAnsi" w:cstheme="minorBidi"/>
          <w:b/>
          <w:i/>
          <w:sz w:val="22"/>
          <w:szCs w:val="22"/>
          <w:lang w:val="nl-BE" w:eastAsia="en-US"/>
        </w:rPr>
      </w:pPr>
      <w:r w:rsidRPr="00F729B3">
        <w:rPr>
          <w:rFonts w:asciiTheme="minorHAnsi" w:eastAsiaTheme="minorHAnsi" w:hAnsiTheme="minorHAnsi" w:cstheme="minorBidi"/>
          <w:b/>
          <w:i/>
          <w:sz w:val="22"/>
          <w:szCs w:val="22"/>
          <w:lang w:val="nl-BE" w:eastAsia="en-US"/>
        </w:rPr>
        <w:t>Seksualiteitsbeleving en internet</w:t>
      </w:r>
    </w:p>
    <w:p w:rsidR="00F729B3" w:rsidRPr="00F729B3" w:rsidRDefault="00F729B3" w:rsidP="00F729B3">
      <w:pPr>
        <w:keepNext/>
        <w:keepLines/>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We vinden het belangrijk om een open en veilig klimaat te scheppen in onze leefgroepen waar cliënten hun vragen rond seksualiteit durven stellen en op een veilige manier kunnen experimenteren. We kiezen er voor om de seksualiteitsontwikkeling mee te reguleren en sturen in plaats van te verbieden. Op deze manier krijgen jongeren en volwassenen de ruimte om positieve ervaringen op te doen en te leren wat een gezonde seksualiteitsontwikkeling inhoudt. </w:t>
      </w:r>
    </w:p>
    <w:p w:rsidR="00F729B3" w:rsidRPr="00F729B3" w:rsidRDefault="00F729B3" w:rsidP="00F729B3">
      <w:pPr>
        <w:ind w:left="426"/>
        <w:jc w:val="both"/>
        <w:rPr>
          <w:rFonts w:asciiTheme="minorHAnsi" w:eastAsiaTheme="minorHAnsi" w:hAnsiTheme="minorHAnsi" w:cstheme="minorBidi"/>
          <w:sz w:val="22"/>
          <w:szCs w:val="22"/>
          <w:lang w:val="nl-BE" w:eastAsia="en-US"/>
        </w:rPr>
      </w:pP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Een belangrijk luik binnen de preventie van seksueel grensoverschrijdend gedrag of seksueel risicovol gedrag is aanleren van internet vaardigheden. Het internet bevat veel risico’s en zeker ook op seksueel vlak. Per cliënt wordt er gekeken wat de cliënt nodig heeft om zich veilig te bewegen op het internet. Thema’s die hierbij aan bod kunnen komen zijn onder andere de gevaren van </w:t>
      </w:r>
      <w:proofErr w:type="spellStart"/>
      <w:r w:rsidRPr="00F729B3">
        <w:rPr>
          <w:rFonts w:asciiTheme="minorHAnsi" w:eastAsiaTheme="minorHAnsi" w:hAnsiTheme="minorHAnsi" w:cstheme="minorBidi"/>
          <w:sz w:val="22"/>
          <w:szCs w:val="22"/>
          <w:lang w:val="nl-BE" w:eastAsia="en-US"/>
        </w:rPr>
        <w:t>sexting</w:t>
      </w:r>
      <w:proofErr w:type="spellEnd"/>
      <w:r w:rsidRPr="00F729B3">
        <w:rPr>
          <w:rFonts w:asciiTheme="minorHAnsi" w:eastAsiaTheme="minorHAnsi" w:hAnsiTheme="minorHAnsi" w:cstheme="minorBidi"/>
          <w:sz w:val="22"/>
          <w:szCs w:val="22"/>
          <w:lang w:val="nl-BE" w:eastAsia="en-US"/>
        </w:rPr>
        <w:t xml:space="preserve"> en naaktbeelden verspreiden, de impact van porno,… </w:t>
      </w:r>
    </w:p>
    <w:p w:rsidR="00F729B3" w:rsidRPr="00F729B3" w:rsidRDefault="00F729B3" w:rsidP="00F729B3">
      <w:pPr>
        <w:ind w:left="426"/>
        <w:jc w:val="both"/>
        <w:rPr>
          <w:rFonts w:asciiTheme="minorHAnsi" w:eastAsiaTheme="minorHAnsi" w:hAnsiTheme="minorHAnsi" w:cstheme="minorBidi"/>
          <w:sz w:val="22"/>
          <w:szCs w:val="22"/>
          <w:lang w:val="nl-BE" w:eastAsia="en-US"/>
        </w:rPr>
      </w:pP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Aan de cliënten die er nood aan hebben, kan er vrouwvriendelijke, realistische porno aangeboden worden binnen een pedagogisch kader.</w:t>
      </w:r>
    </w:p>
    <w:p w:rsidR="00F729B3" w:rsidRPr="00F729B3" w:rsidRDefault="00F729B3" w:rsidP="00F729B3">
      <w:pPr>
        <w:ind w:left="426"/>
        <w:jc w:val="both"/>
        <w:rPr>
          <w:rFonts w:asciiTheme="minorHAnsi" w:eastAsiaTheme="minorHAnsi" w:hAnsiTheme="minorHAnsi" w:cstheme="minorBidi"/>
          <w:sz w:val="22"/>
          <w:szCs w:val="22"/>
          <w:lang w:val="nl-BE" w:eastAsia="en-US"/>
        </w:rPr>
      </w:pPr>
    </w:p>
    <w:p w:rsidR="00F729B3" w:rsidRPr="00F729B3" w:rsidRDefault="00F729B3" w:rsidP="00F729B3">
      <w:pPr>
        <w:ind w:left="426"/>
        <w:jc w:val="both"/>
        <w:rPr>
          <w:rFonts w:asciiTheme="minorHAnsi" w:eastAsiaTheme="minorHAnsi" w:hAnsiTheme="minorHAnsi" w:cstheme="minorBidi"/>
          <w:b/>
          <w:i/>
          <w:sz w:val="22"/>
          <w:szCs w:val="22"/>
          <w:lang w:val="nl-BE" w:eastAsia="en-US"/>
        </w:rPr>
      </w:pPr>
      <w:r w:rsidRPr="00F729B3">
        <w:rPr>
          <w:rFonts w:asciiTheme="minorHAnsi" w:eastAsiaTheme="minorHAnsi" w:hAnsiTheme="minorHAnsi" w:cstheme="minorBidi"/>
          <w:b/>
          <w:i/>
          <w:sz w:val="22"/>
          <w:szCs w:val="22"/>
          <w:lang w:val="nl-BE" w:eastAsia="en-US"/>
        </w:rPr>
        <w:t xml:space="preserve">Vormingen voor begeleiders </w:t>
      </w: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We bieden jaarlijks de mogelijkheid tot het volgen van vormingen en zetten hiernaast in op interne vormingen (vlaggensysteem, hoe omgaan met positieve seksualiteitsbeleving, houding van begeleiders,…).</w:t>
      </w:r>
    </w:p>
    <w:p w:rsidR="00F729B3" w:rsidRPr="00F729B3" w:rsidRDefault="00F729B3" w:rsidP="00F729B3">
      <w:pPr>
        <w:ind w:left="426"/>
        <w:jc w:val="both"/>
        <w:rPr>
          <w:rFonts w:asciiTheme="minorHAnsi" w:eastAsiaTheme="minorHAnsi" w:hAnsiTheme="minorHAnsi" w:cstheme="minorBidi"/>
          <w:sz w:val="22"/>
          <w:szCs w:val="22"/>
          <w:lang w:val="nl-BE" w:eastAsia="en-US"/>
        </w:rPr>
      </w:pP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Om situaties correct te kunnen inschatten en om cliënten goed te begeleiden in hun seksualiteitsbeleving, is het belangrijk dat de begeleiders hier kennis over hebben. Daarom wordt er jaarlijks de mogelijkheid gegeven tot zowel interne als externe vormingen over het thema seksualiteit. We vinden het belangrijk dat er in elk team kennis aanwezig is over het inschatten van situaties van seksueel grensoverschrijdend gedrag en hoe hiermee om te gaan. </w:t>
      </w:r>
    </w:p>
    <w:p w:rsidR="00F729B3" w:rsidRPr="00F729B3" w:rsidRDefault="00F729B3" w:rsidP="00F729B3">
      <w:pPr>
        <w:ind w:left="426"/>
        <w:jc w:val="both"/>
        <w:rPr>
          <w:rFonts w:asciiTheme="minorHAnsi" w:eastAsiaTheme="minorHAnsi" w:hAnsiTheme="minorHAnsi" w:cstheme="minorBidi"/>
          <w:sz w:val="22"/>
          <w:szCs w:val="22"/>
          <w:lang w:val="nl-BE" w:eastAsia="en-US"/>
        </w:rPr>
      </w:pPr>
    </w:p>
    <w:p w:rsidR="00F729B3" w:rsidRPr="00F729B3" w:rsidRDefault="00F729B3" w:rsidP="00F729B3">
      <w:pPr>
        <w:ind w:left="426"/>
        <w:jc w:val="both"/>
        <w:rPr>
          <w:rFonts w:asciiTheme="minorHAnsi" w:eastAsiaTheme="minorHAnsi" w:hAnsiTheme="minorHAnsi" w:cstheme="minorBidi"/>
          <w:b/>
          <w:i/>
          <w:sz w:val="22"/>
          <w:szCs w:val="22"/>
          <w:lang w:val="nl-BE" w:eastAsia="en-US"/>
        </w:rPr>
      </w:pPr>
      <w:r w:rsidRPr="00F729B3">
        <w:rPr>
          <w:rFonts w:asciiTheme="minorHAnsi" w:eastAsiaTheme="minorHAnsi" w:hAnsiTheme="minorHAnsi" w:cstheme="minorBidi"/>
          <w:b/>
          <w:i/>
          <w:sz w:val="22"/>
          <w:szCs w:val="22"/>
          <w:lang w:val="nl-BE" w:eastAsia="en-US"/>
        </w:rPr>
        <w:t>Methodieken voor begeleiders en cliënten</w:t>
      </w: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Naast vormingen voor medewerkers, is het belangrijk om het gesprek met cliënten aan te gaan (o.a. door </w:t>
      </w:r>
      <w:proofErr w:type="spellStart"/>
      <w:r w:rsidRPr="00F729B3">
        <w:rPr>
          <w:rFonts w:asciiTheme="minorHAnsi" w:eastAsiaTheme="minorHAnsi" w:hAnsiTheme="minorHAnsi" w:cstheme="minorBidi"/>
          <w:sz w:val="22"/>
          <w:szCs w:val="22"/>
          <w:lang w:val="nl-BE" w:eastAsia="en-US"/>
        </w:rPr>
        <w:t>psycho</w:t>
      </w:r>
      <w:proofErr w:type="spellEnd"/>
      <w:r w:rsidRPr="00F729B3">
        <w:rPr>
          <w:rFonts w:asciiTheme="minorHAnsi" w:eastAsiaTheme="minorHAnsi" w:hAnsiTheme="minorHAnsi" w:cstheme="minorBidi"/>
          <w:sz w:val="22"/>
          <w:szCs w:val="22"/>
          <w:lang w:val="nl-BE" w:eastAsia="en-US"/>
        </w:rPr>
        <w:t xml:space="preserve">-educatie). Dit kan gebeuren aan de hand van verschillende methodieken: spellen, videomateriaal, werkboeken, gesprekskaarten,… . </w:t>
      </w:r>
    </w:p>
    <w:p w:rsidR="00F729B3" w:rsidRPr="00F729B3" w:rsidRDefault="00F729B3" w:rsidP="00F729B3">
      <w:pPr>
        <w:jc w:val="both"/>
        <w:rPr>
          <w:rFonts w:asciiTheme="minorHAnsi" w:eastAsiaTheme="minorHAnsi" w:hAnsiTheme="minorHAnsi" w:cstheme="minorBidi"/>
          <w:sz w:val="22"/>
          <w:szCs w:val="22"/>
          <w:lang w:val="nl-BE" w:eastAsia="en-US"/>
        </w:rPr>
      </w:pPr>
    </w:p>
    <w:p w:rsidR="00F729B3" w:rsidRPr="004B7E13" w:rsidRDefault="00F729B3" w:rsidP="00F729B3">
      <w:pPr>
        <w:pStyle w:val="Lijstalinea"/>
        <w:numPr>
          <w:ilvl w:val="0"/>
          <w:numId w:val="4"/>
        </w:numPr>
        <w:ind w:left="709"/>
        <w:jc w:val="both"/>
        <w:outlineLvl w:val="0"/>
        <w:rPr>
          <w:rFonts w:asciiTheme="minorHAnsi" w:eastAsiaTheme="minorHAnsi" w:hAnsiTheme="minorHAnsi" w:cstheme="minorBidi"/>
          <w:b/>
          <w:color w:val="009999"/>
        </w:rPr>
      </w:pPr>
      <w:r w:rsidRPr="004B7E13">
        <w:rPr>
          <w:rFonts w:asciiTheme="minorHAnsi" w:eastAsiaTheme="minorHAnsi" w:hAnsiTheme="minorHAnsi" w:cstheme="minorBidi"/>
          <w:b/>
          <w:color w:val="009999"/>
        </w:rPr>
        <w:t xml:space="preserve">Infrastructuur en </w:t>
      </w:r>
      <w:proofErr w:type="spellStart"/>
      <w:r w:rsidRPr="004B7E13">
        <w:rPr>
          <w:rFonts w:asciiTheme="minorHAnsi" w:eastAsiaTheme="minorHAnsi" w:hAnsiTheme="minorHAnsi" w:cstheme="minorBidi"/>
          <w:b/>
          <w:color w:val="009999"/>
        </w:rPr>
        <w:t>technopreventieve</w:t>
      </w:r>
      <w:proofErr w:type="spellEnd"/>
      <w:r w:rsidRPr="004B7E13">
        <w:rPr>
          <w:rFonts w:asciiTheme="minorHAnsi" w:eastAsiaTheme="minorHAnsi" w:hAnsiTheme="minorHAnsi" w:cstheme="minorBidi"/>
          <w:b/>
          <w:color w:val="009999"/>
        </w:rPr>
        <w:t xml:space="preserve"> maatregelen </w:t>
      </w:r>
    </w:p>
    <w:p w:rsid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In het voorkomen van eventueel (seksueel) grensoverschrijdend gedrag kunnen we ook rekenen op bepaalde technologische en infrastructurele hulpmiddelen. We werken binnen bepaalde leefgroepen met alarmsystemen op de deuren zodat de begeleider te allen tijde zicht heeft wanneer de cliënt de kamer verlaat. Wanneer er een te groot risico is op (seksueel) grensoverschrijdend gedrag kan er ook overgegaan worden naar </w:t>
      </w:r>
      <w:proofErr w:type="spellStart"/>
      <w:r w:rsidRPr="00F729B3">
        <w:rPr>
          <w:rFonts w:asciiTheme="minorHAnsi" w:eastAsiaTheme="minorHAnsi" w:hAnsiTheme="minorHAnsi" w:cstheme="minorBidi"/>
          <w:sz w:val="22"/>
          <w:szCs w:val="22"/>
          <w:lang w:val="nl-BE" w:eastAsia="en-US"/>
        </w:rPr>
        <w:t>vrijheidsbeperkende</w:t>
      </w:r>
      <w:proofErr w:type="spellEnd"/>
      <w:r w:rsidRPr="00F729B3">
        <w:rPr>
          <w:rFonts w:asciiTheme="minorHAnsi" w:eastAsiaTheme="minorHAnsi" w:hAnsiTheme="minorHAnsi" w:cstheme="minorBidi"/>
          <w:sz w:val="22"/>
          <w:szCs w:val="22"/>
          <w:lang w:val="nl-BE" w:eastAsia="en-US"/>
        </w:rPr>
        <w:t xml:space="preserve"> maatregelen (bv.: de deur van de slaapkamer wordt ’s nachts op slot gedaan).</w:t>
      </w:r>
    </w:p>
    <w:p w:rsidR="00F729B3" w:rsidRPr="00F729B3" w:rsidRDefault="00F729B3" w:rsidP="00F729B3">
      <w:pPr>
        <w:ind w:left="426"/>
        <w:jc w:val="both"/>
        <w:rPr>
          <w:rFonts w:asciiTheme="minorHAnsi" w:eastAsiaTheme="minorHAnsi" w:hAnsiTheme="minorHAnsi" w:cstheme="minorBidi"/>
          <w:sz w:val="22"/>
          <w:szCs w:val="22"/>
          <w:lang w:val="nl-BE" w:eastAsia="en-US"/>
        </w:rPr>
      </w:pPr>
    </w:p>
    <w:p w:rsidR="00F729B3" w:rsidRPr="004B7E13" w:rsidRDefault="00F729B3" w:rsidP="004B7E13">
      <w:pPr>
        <w:pStyle w:val="Lijstalinea"/>
        <w:keepNext/>
        <w:keepLines/>
        <w:numPr>
          <w:ilvl w:val="0"/>
          <w:numId w:val="4"/>
        </w:numPr>
        <w:ind w:left="709"/>
        <w:jc w:val="both"/>
        <w:outlineLvl w:val="0"/>
        <w:rPr>
          <w:rFonts w:asciiTheme="minorHAnsi" w:eastAsiaTheme="minorHAnsi" w:hAnsiTheme="minorHAnsi" w:cstheme="minorBidi"/>
          <w:b/>
          <w:color w:val="009999"/>
        </w:rPr>
      </w:pPr>
      <w:r w:rsidRPr="004B7E13">
        <w:rPr>
          <w:rFonts w:asciiTheme="minorHAnsi" w:eastAsiaTheme="minorHAnsi" w:hAnsiTheme="minorHAnsi" w:cstheme="minorBidi"/>
          <w:b/>
          <w:color w:val="009999"/>
        </w:rPr>
        <w:lastRenderedPageBreak/>
        <w:t>Medisch en Juridisch kader</w:t>
      </w:r>
      <w:r w:rsidRPr="004B7E13">
        <w:rPr>
          <w:rFonts w:asciiTheme="minorHAnsi" w:eastAsiaTheme="minorHAnsi" w:hAnsiTheme="minorHAnsi" w:cstheme="minorBidi"/>
          <w:color w:val="009999"/>
        </w:rPr>
        <w:t xml:space="preserve"> </w:t>
      </w:r>
    </w:p>
    <w:p w:rsidR="00F729B3" w:rsidRPr="00F729B3" w:rsidRDefault="00F729B3" w:rsidP="004B7E13">
      <w:pPr>
        <w:keepNext/>
        <w:keepLines/>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Een minderjarige jonger dan 16 jaar kan in principe geen toestemming geven voor seksuele handelingen. Dat is de seksuele meerderjarigheidsgrens.</w:t>
      </w:r>
    </w:p>
    <w:p w:rsidR="00F729B3" w:rsidRPr="00F729B3" w:rsidRDefault="00F729B3" w:rsidP="004B7E13">
      <w:pPr>
        <w:keepNext/>
        <w:keepLines/>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Er is wel een uitzondering met het oog op een normale, seksuele ontwikkeling tussen leeftijdsgenoten. Tussen de leeftijd van 14 en 16 jaar kan men wél toestemmen met seksuele handelingen zolang het leeftijdsverschil met de andere persoon niet meer dan drie jaar bedraagt. </w:t>
      </w:r>
    </w:p>
    <w:p w:rsidR="00F729B3" w:rsidRPr="00F729B3" w:rsidRDefault="00F729B3" w:rsidP="004B7E13">
      <w:pPr>
        <w:keepNext/>
        <w:keepLines/>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Als het leeftijdsverschil tussen minderjarigen van 14 tot 18 jaar wel groter is dan drie jaar maar zij aangeven dat er wederzijdse toestemming was voor hun seksuele handelingen, is dat eventueel te rechtvaardigen. Het mag in principe niet, maar de wetgever wil niet alle consensuele seksuele handelingen door minderjarigen strafrechtelijk beteugelen. Het is dus mogelijk dat de rechter of het parket oordeelt dat er toch geen strafbaar feit is. Dat wordt bepaald op basis van de individuele elementen in het dossier. </w:t>
      </w:r>
    </w:p>
    <w:p w:rsidR="00F729B3" w:rsidRPr="00F729B3" w:rsidRDefault="00F729B3" w:rsidP="004B7E13">
      <w:pPr>
        <w:keepNext/>
        <w:keepLines/>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Een minderjarige kan echter nooit uit vrije wil toestemmen met seksuele handelingen met bloedverwanten. Dat geldt ook ten opzichte van personen die een erkende positie van vertrouwen, gezag of invloed hebben ten aanzien van de minderjarige of in het geval van prostitutie. Prostitutie of eender andere vorm van uitbuiting van minderjarigen is uiteraard ook verboden. (</w:t>
      </w:r>
      <w:hyperlink r:id="rId10" w:anchor="tab-4" w:history="1">
        <w:r w:rsidRPr="00F729B3">
          <w:rPr>
            <w:rFonts w:asciiTheme="minorHAnsi" w:eastAsiaTheme="minorHAnsi" w:hAnsiTheme="minorHAnsi" w:cstheme="minorBidi"/>
            <w:color w:val="0563C1" w:themeColor="hyperlink"/>
            <w:sz w:val="22"/>
            <w:szCs w:val="22"/>
            <w:u w:val="single"/>
            <w:lang w:val="nl-BE" w:eastAsia="en-US"/>
          </w:rPr>
          <w:t>https://justitie.belgium.be/nl/themas/veiligheid_en_criminaliteit/seksuele_misdrijven#tab-4</w:t>
        </w:r>
      </w:hyperlink>
      <w:r w:rsidRPr="00F729B3">
        <w:rPr>
          <w:rFonts w:asciiTheme="minorHAnsi" w:eastAsiaTheme="minorHAnsi" w:hAnsiTheme="minorHAnsi" w:cstheme="minorBidi"/>
          <w:sz w:val="22"/>
          <w:szCs w:val="22"/>
          <w:lang w:val="nl-BE" w:eastAsia="en-US"/>
        </w:rPr>
        <w:t xml:space="preserve">) </w:t>
      </w: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Gezien onze doelgroep is het belangrijk om naast de biologische leeftijd ook naar de ontwikkelingsleeftijd te kijken. Gelijkwaardigheid op beide vlakken is een belangrijke pijler om te spreken van gezonde seksuele contacten. </w:t>
      </w:r>
    </w:p>
    <w:p w:rsidR="00F729B3" w:rsidRPr="00F729B3" w:rsidRDefault="00F729B3" w:rsidP="00F729B3">
      <w:pPr>
        <w:ind w:left="426"/>
        <w:jc w:val="both"/>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We gaan aan de slag om maximale anticonceptie in te zetten bij jongens en meisjes en zijn ontradend naar zwangerschappen toe. Dit is een thema dat in opvolgbesprekingen met de cliënt en/of zijn context telkens aan bod komt. </w:t>
      </w:r>
    </w:p>
    <w:p w:rsidR="00F729B3" w:rsidRPr="00F729B3" w:rsidRDefault="00F729B3" w:rsidP="00F729B3">
      <w:pPr>
        <w:jc w:val="both"/>
        <w:rPr>
          <w:rFonts w:asciiTheme="minorHAnsi" w:eastAsiaTheme="minorHAnsi" w:hAnsiTheme="minorHAnsi" w:cstheme="minorBidi"/>
          <w:strike/>
          <w:sz w:val="22"/>
          <w:szCs w:val="22"/>
          <w:lang w:val="nl-BE" w:eastAsia="en-US"/>
        </w:rPr>
      </w:pPr>
    </w:p>
    <w:p w:rsidR="00F729B3" w:rsidRPr="00F729B3" w:rsidRDefault="00F729B3" w:rsidP="00F729B3">
      <w:pPr>
        <w:ind w:left="426"/>
        <w:rPr>
          <w:rFonts w:asciiTheme="minorHAnsi" w:eastAsiaTheme="minorHAnsi" w:hAnsiTheme="minorHAnsi" w:cstheme="minorBidi"/>
          <w:sz w:val="22"/>
          <w:szCs w:val="22"/>
          <w:lang w:val="nl-BE" w:eastAsia="en-US"/>
        </w:rPr>
      </w:pPr>
      <w:r w:rsidRPr="00F729B3">
        <w:rPr>
          <w:rFonts w:asciiTheme="minorHAnsi" w:eastAsiaTheme="minorHAnsi" w:hAnsiTheme="minorHAnsi" w:cstheme="minorBidi"/>
          <w:sz w:val="22"/>
          <w:szCs w:val="22"/>
          <w:lang w:val="nl-BE" w:eastAsia="en-US"/>
        </w:rPr>
        <w:t xml:space="preserve">FOD JUSTITIE. (2024). Seksuele Misdrijven. </w:t>
      </w:r>
      <w:hyperlink r:id="rId11" w:anchor="tab-4" w:history="1">
        <w:r w:rsidRPr="00F729B3">
          <w:rPr>
            <w:rFonts w:asciiTheme="minorHAnsi" w:eastAsiaTheme="minorHAnsi" w:hAnsiTheme="minorHAnsi" w:cstheme="minorBidi"/>
            <w:color w:val="0563C1" w:themeColor="hyperlink"/>
            <w:sz w:val="22"/>
            <w:szCs w:val="22"/>
            <w:u w:val="single"/>
            <w:lang w:val="nl-BE" w:eastAsia="en-US"/>
          </w:rPr>
          <w:t>https://justitie.belgium.be/nl/themas/veiligheid_en_criminaliteit/seksuele_misdrijven#tab-4</w:t>
        </w:r>
      </w:hyperlink>
    </w:p>
    <w:p w:rsidR="00F729B3" w:rsidRDefault="00F729B3" w:rsidP="00F729B3">
      <w:pPr>
        <w:rPr>
          <w:rFonts w:asciiTheme="minorHAnsi" w:hAnsiTheme="minorHAnsi" w:cs="Arial"/>
          <w:sz w:val="22"/>
          <w:szCs w:val="22"/>
        </w:rPr>
      </w:pPr>
    </w:p>
    <w:p w:rsidR="00F729B3" w:rsidRPr="00421B0A" w:rsidRDefault="00F729B3" w:rsidP="00F729B3">
      <w:pPr>
        <w:rPr>
          <w:rFonts w:asciiTheme="minorHAnsi" w:hAnsiTheme="minorHAnsi" w:cs="Arial"/>
          <w:sz w:val="22"/>
          <w:szCs w:val="22"/>
        </w:rPr>
      </w:pPr>
    </w:p>
    <w:p w:rsidR="00F729B3" w:rsidRDefault="00F729B3" w:rsidP="00F729B3">
      <w:pPr>
        <w:numPr>
          <w:ilvl w:val="0"/>
          <w:numId w:val="1"/>
        </w:numPr>
        <w:tabs>
          <w:tab w:val="clear" w:pos="720"/>
          <w:tab w:val="num" w:pos="284"/>
        </w:tabs>
        <w:rPr>
          <w:rFonts w:asciiTheme="minorHAnsi" w:hAnsiTheme="minorHAnsi" w:cs="Arial"/>
          <w:b/>
          <w:sz w:val="22"/>
          <w:szCs w:val="22"/>
        </w:rPr>
      </w:pPr>
      <w:r>
        <w:rPr>
          <w:rFonts w:asciiTheme="minorHAnsi" w:hAnsiTheme="minorHAnsi" w:cs="Arial"/>
          <w:b/>
          <w:sz w:val="22"/>
          <w:szCs w:val="22"/>
        </w:rPr>
        <w:t>Om</w:t>
      </w:r>
      <w:r w:rsidRPr="00421B0A">
        <w:rPr>
          <w:rFonts w:asciiTheme="minorHAnsi" w:hAnsiTheme="minorHAnsi" w:cs="Arial"/>
          <w:b/>
          <w:sz w:val="22"/>
          <w:szCs w:val="22"/>
        </w:rPr>
        <w:t xml:space="preserve">schrijving van de procedure: </w:t>
      </w:r>
    </w:p>
    <w:p w:rsidR="00F729B3" w:rsidRPr="00421B0A" w:rsidRDefault="00F729B3" w:rsidP="00F729B3">
      <w:pPr>
        <w:ind w:left="720"/>
        <w:rPr>
          <w:rFonts w:asciiTheme="minorHAnsi" w:hAnsiTheme="minorHAnsi" w:cs="Arial"/>
          <w:b/>
          <w:sz w:val="22"/>
          <w:szCs w:val="22"/>
        </w:rPr>
      </w:pPr>
    </w:p>
    <w:p w:rsidR="00F729B3" w:rsidRPr="00421B0A" w:rsidRDefault="00F729B3" w:rsidP="00F729B3">
      <w:pPr>
        <w:pStyle w:val="Tekstzonderopmaak"/>
        <w:ind w:left="284"/>
        <w:rPr>
          <w:rFonts w:asciiTheme="minorHAnsi" w:hAnsiTheme="minorHAnsi" w:cs="Arial"/>
          <w:b/>
          <w:sz w:val="22"/>
          <w:szCs w:val="22"/>
        </w:rPr>
      </w:pPr>
      <w:r w:rsidRPr="00421B0A">
        <w:rPr>
          <w:rFonts w:asciiTheme="minorHAnsi" w:hAnsiTheme="minorHAnsi" w:cs="Arial"/>
          <w:b/>
          <w:sz w:val="22"/>
          <w:szCs w:val="22"/>
        </w:rPr>
        <w:t>1. Toepassingsgebied</w:t>
      </w:r>
    </w:p>
    <w:p w:rsidR="00F729B3" w:rsidRPr="00421B0A" w:rsidRDefault="00F729B3" w:rsidP="00F729B3">
      <w:pPr>
        <w:pStyle w:val="Tekstzonderopmaak"/>
        <w:tabs>
          <w:tab w:val="left" w:pos="709"/>
        </w:tabs>
        <w:ind w:left="709" w:hanging="283"/>
        <w:rPr>
          <w:rFonts w:asciiTheme="minorHAnsi" w:hAnsiTheme="minorHAnsi" w:cs="Arial"/>
          <w:sz w:val="22"/>
          <w:szCs w:val="22"/>
        </w:rPr>
      </w:pPr>
      <w:r w:rsidRPr="00421B0A">
        <w:rPr>
          <w:rFonts w:asciiTheme="minorHAnsi" w:hAnsiTheme="minorHAnsi" w:cs="Arial"/>
          <w:sz w:val="22"/>
          <w:szCs w:val="22"/>
        </w:rPr>
        <w:t>•</w:t>
      </w:r>
      <w:r w:rsidRPr="00421B0A">
        <w:rPr>
          <w:rFonts w:asciiTheme="minorHAnsi" w:hAnsiTheme="minorHAnsi" w:cs="Arial"/>
          <w:sz w:val="22"/>
          <w:szCs w:val="22"/>
        </w:rPr>
        <w:tab/>
      </w:r>
    </w:p>
    <w:p w:rsidR="00F729B3" w:rsidRPr="00421B0A" w:rsidRDefault="00F729B3" w:rsidP="00F729B3">
      <w:pPr>
        <w:pStyle w:val="Tekstzonderopmaak"/>
        <w:ind w:left="284"/>
        <w:rPr>
          <w:rFonts w:asciiTheme="minorHAnsi" w:hAnsiTheme="minorHAnsi" w:cs="Arial"/>
          <w:sz w:val="22"/>
          <w:szCs w:val="22"/>
        </w:rPr>
      </w:pPr>
    </w:p>
    <w:p w:rsidR="00F729B3" w:rsidRPr="00421B0A" w:rsidRDefault="00F729B3" w:rsidP="00F729B3">
      <w:pPr>
        <w:pStyle w:val="Tekstzonderopmaak"/>
        <w:ind w:left="284"/>
        <w:rPr>
          <w:rFonts w:asciiTheme="minorHAnsi" w:hAnsiTheme="minorHAnsi" w:cs="Arial"/>
          <w:b/>
          <w:sz w:val="22"/>
          <w:szCs w:val="22"/>
        </w:rPr>
      </w:pPr>
      <w:r w:rsidRPr="00421B0A">
        <w:rPr>
          <w:rFonts w:asciiTheme="minorHAnsi" w:hAnsiTheme="minorHAnsi" w:cs="Arial"/>
          <w:b/>
          <w:sz w:val="22"/>
          <w:szCs w:val="22"/>
        </w:rPr>
        <w:t>2. Verklaring begrippen en afkortingen</w:t>
      </w:r>
    </w:p>
    <w:p w:rsidR="00F729B3" w:rsidRDefault="00F729B3" w:rsidP="00F729B3">
      <w:pPr>
        <w:pStyle w:val="Tekstzonderopmaak"/>
        <w:ind w:left="284"/>
        <w:rPr>
          <w:rFonts w:asciiTheme="minorHAnsi" w:hAnsiTheme="minorHAnsi" w:cs="Arial"/>
          <w:sz w:val="22"/>
          <w:szCs w:val="22"/>
        </w:rPr>
      </w:pPr>
    </w:p>
    <w:p w:rsidR="00F729B3" w:rsidRPr="00421B0A" w:rsidRDefault="00F729B3" w:rsidP="00F729B3">
      <w:pPr>
        <w:pStyle w:val="Plattetekst"/>
        <w:ind w:left="284"/>
        <w:rPr>
          <w:rFonts w:asciiTheme="minorHAnsi" w:hAnsiTheme="minorHAnsi" w:cs="Arial"/>
          <w:sz w:val="22"/>
          <w:szCs w:val="22"/>
          <w:u w:val="none"/>
        </w:rPr>
      </w:pPr>
      <w:r w:rsidRPr="00421B0A">
        <w:rPr>
          <w:rFonts w:asciiTheme="minorHAnsi" w:hAnsiTheme="minorHAnsi" w:cs="Arial"/>
          <w:sz w:val="22"/>
          <w:szCs w:val="22"/>
          <w:u w:val="none"/>
        </w:rPr>
        <w:t xml:space="preserve">3. </w:t>
      </w:r>
      <w:r>
        <w:rPr>
          <w:rFonts w:asciiTheme="minorHAnsi" w:hAnsiTheme="minorHAnsi" w:cs="Arial"/>
          <w:sz w:val="22"/>
          <w:szCs w:val="22"/>
          <w:u w:val="none"/>
        </w:rPr>
        <w:t>Gerelateerde f</w:t>
      </w:r>
      <w:r w:rsidRPr="00421B0A">
        <w:rPr>
          <w:rFonts w:asciiTheme="minorHAnsi" w:hAnsiTheme="minorHAnsi" w:cs="Arial"/>
          <w:sz w:val="22"/>
          <w:szCs w:val="22"/>
          <w:u w:val="none"/>
        </w:rPr>
        <w:t>ormulieren, werkinstructies, praktische documenten, …</w:t>
      </w:r>
    </w:p>
    <w:p w:rsidR="00F729B3" w:rsidRPr="00421B0A" w:rsidRDefault="00F729B3" w:rsidP="00F729B3">
      <w:pPr>
        <w:pStyle w:val="Plattetekst"/>
        <w:ind w:left="284" w:hanging="284"/>
        <w:rPr>
          <w:rFonts w:asciiTheme="minorHAnsi" w:hAnsiTheme="minorHAnsi" w:cs="Arial"/>
          <w:b w:val="0"/>
          <w:sz w:val="22"/>
          <w:szCs w:val="22"/>
          <w:u w:val="none"/>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88"/>
      </w:tblGrid>
      <w:tr w:rsidR="00F729B3" w:rsidRPr="00421B0A" w:rsidTr="007A66EB">
        <w:tc>
          <w:tcPr>
            <w:tcW w:w="8788" w:type="dxa"/>
            <w:tcBorders>
              <w:top w:val="single" w:sz="4" w:space="0" w:color="auto"/>
              <w:left w:val="single" w:sz="4" w:space="0" w:color="auto"/>
              <w:bottom w:val="single" w:sz="4" w:space="0" w:color="auto"/>
              <w:right w:val="single" w:sz="4" w:space="0" w:color="auto"/>
            </w:tcBorders>
            <w:shd w:val="clear" w:color="auto" w:fill="E6E6E6"/>
            <w:hideMark/>
          </w:tcPr>
          <w:p w:rsidR="00F729B3" w:rsidRPr="00421B0A" w:rsidRDefault="00F729B3" w:rsidP="007A66EB">
            <w:pPr>
              <w:jc w:val="center"/>
              <w:rPr>
                <w:rFonts w:asciiTheme="minorHAnsi" w:hAnsiTheme="minorHAnsi"/>
                <w:b/>
                <w:sz w:val="22"/>
                <w:szCs w:val="22"/>
              </w:rPr>
            </w:pPr>
            <w:r w:rsidRPr="00421B0A">
              <w:rPr>
                <w:rFonts w:asciiTheme="minorHAnsi" w:hAnsiTheme="minorHAnsi"/>
                <w:b/>
                <w:sz w:val="22"/>
                <w:szCs w:val="22"/>
              </w:rPr>
              <w:t>Beschrijving document</w:t>
            </w:r>
          </w:p>
        </w:tc>
      </w:tr>
      <w:tr w:rsidR="00F729B3" w:rsidRPr="00421B0A" w:rsidTr="007A66EB">
        <w:tc>
          <w:tcPr>
            <w:tcW w:w="8788" w:type="dxa"/>
            <w:tcBorders>
              <w:top w:val="single" w:sz="4" w:space="0" w:color="auto"/>
              <w:left w:val="single" w:sz="4" w:space="0" w:color="auto"/>
              <w:bottom w:val="single" w:sz="4" w:space="0" w:color="auto"/>
              <w:right w:val="single" w:sz="4" w:space="0" w:color="auto"/>
            </w:tcBorders>
          </w:tcPr>
          <w:p w:rsidR="00F729B3" w:rsidRPr="00421B0A" w:rsidRDefault="00F729B3" w:rsidP="007A66EB">
            <w:pPr>
              <w:rPr>
                <w:rFonts w:asciiTheme="minorHAnsi" w:hAnsiTheme="minorHAnsi"/>
                <w:sz w:val="22"/>
                <w:szCs w:val="22"/>
              </w:rPr>
            </w:pPr>
          </w:p>
        </w:tc>
      </w:tr>
    </w:tbl>
    <w:p w:rsidR="00F729B3" w:rsidRPr="00421B0A" w:rsidRDefault="00F729B3" w:rsidP="00F729B3">
      <w:pPr>
        <w:pStyle w:val="Koptekst"/>
        <w:rPr>
          <w:rFonts w:asciiTheme="minorHAnsi" w:hAnsiTheme="minorHAnsi"/>
          <w:sz w:val="22"/>
          <w:szCs w:val="22"/>
        </w:rPr>
      </w:pPr>
    </w:p>
    <w:p w:rsidR="00F729B3" w:rsidRPr="00421B0A" w:rsidRDefault="00F729B3" w:rsidP="00F729B3">
      <w:pPr>
        <w:ind w:left="284"/>
        <w:rPr>
          <w:rFonts w:asciiTheme="minorHAnsi" w:hAnsiTheme="minorHAnsi" w:cs="Arial"/>
          <w:b/>
          <w:sz w:val="22"/>
          <w:szCs w:val="22"/>
        </w:rPr>
      </w:pPr>
      <w:r w:rsidRPr="00421B0A">
        <w:rPr>
          <w:rFonts w:asciiTheme="minorHAnsi" w:hAnsiTheme="minorHAnsi" w:cs="Arial"/>
          <w:b/>
          <w:sz w:val="22"/>
          <w:szCs w:val="22"/>
        </w:rPr>
        <w:t>4. Registraties en gegevensdocumenten</w:t>
      </w:r>
    </w:p>
    <w:p w:rsidR="00F729B3" w:rsidRPr="00421B0A" w:rsidRDefault="00F729B3" w:rsidP="00F729B3">
      <w:pPr>
        <w:rPr>
          <w:rFonts w:asciiTheme="minorHAnsi" w:hAnsiTheme="minorHAnsi" w:cs="Arial"/>
          <w:color w:val="008080"/>
          <w:sz w:val="22"/>
          <w:szCs w:val="22"/>
        </w:rPr>
      </w:pPr>
    </w:p>
    <w:tbl>
      <w:tblPr>
        <w:tblW w:w="886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20"/>
        <w:gridCol w:w="1414"/>
        <w:gridCol w:w="1631"/>
      </w:tblGrid>
      <w:tr w:rsidR="00F729B3" w:rsidRPr="00421B0A" w:rsidTr="007A66EB">
        <w:tc>
          <w:tcPr>
            <w:tcW w:w="5816" w:type="dxa"/>
            <w:tcBorders>
              <w:top w:val="single" w:sz="4" w:space="0" w:color="auto"/>
              <w:left w:val="single" w:sz="4" w:space="0" w:color="auto"/>
              <w:bottom w:val="single" w:sz="4" w:space="0" w:color="auto"/>
              <w:right w:val="single" w:sz="4" w:space="0" w:color="auto"/>
            </w:tcBorders>
            <w:shd w:val="pct10" w:color="auto" w:fill="auto"/>
            <w:hideMark/>
          </w:tcPr>
          <w:p w:rsidR="00F729B3" w:rsidRPr="00421B0A" w:rsidRDefault="00F729B3" w:rsidP="007A66EB">
            <w:pPr>
              <w:jc w:val="center"/>
              <w:rPr>
                <w:rFonts w:asciiTheme="minorHAnsi" w:hAnsiTheme="minorHAnsi"/>
                <w:b/>
                <w:sz w:val="22"/>
                <w:szCs w:val="22"/>
              </w:rPr>
            </w:pPr>
            <w:r w:rsidRPr="00421B0A">
              <w:rPr>
                <w:rFonts w:asciiTheme="minorHAnsi" w:hAnsiTheme="minorHAnsi"/>
                <w:b/>
                <w:sz w:val="22"/>
                <w:szCs w:val="22"/>
              </w:rPr>
              <w:t>Beschrijving document</w:t>
            </w:r>
          </w:p>
        </w:tc>
        <w:tc>
          <w:tcPr>
            <w:tcW w:w="1413" w:type="dxa"/>
            <w:tcBorders>
              <w:top w:val="single" w:sz="4" w:space="0" w:color="auto"/>
              <w:left w:val="single" w:sz="4" w:space="0" w:color="auto"/>
              <w:bottom w:val="single" w:sz="4" w:space="0" w:color="auto"/>
              <w:right w:val="single" w:sz="4" w:space="0" w:color="auto"/>
            </w:tcBorders>
            <w:shd w:val="pct10" w:color="auto" w:fill="auto"/>
            <w:hideMark/>
          </w:tcPr>
          <w:p w:rsidR="00F729B3" w:rsidRPr="00421B0A" w:rsidRDefault="00F729B3" w:rsidP="007A66EB">
            <w:pPr>
              <w:jc w:val="center"/>
              <w:rPr>
                <w:rFonts w:asciiTheme="minorHAnsi" w:hAnsiTheme="minorHAnsi"/>
                <w:b/>
                <w:sz w:val="22"/>
                <w:szCs w:val="22"/>
              </w:rPr>
            </w:pPr>
            <w:r w:rsidRPr="00421B0A">
              <w:rPr>
                <w:rFonts w:asciiTheme="minorHAnsi" w:hAnsiTheme="minorHAnsi"/>
                <w:b/>
                <w:sz w:val="22"/>
                <w:szCs w:val="22"/>
              </w:rPr>
              <w:t>Wie</w:t>
            </w:r>
          </w:p>
        </w:tc>
        <w:tc>
          <w:tcPr>
            <w:tcW w:w="1630" w:type="dxa"/>
            <w:tcBorders>
              <w:top w:val="single" w:sz="4" w:space="0" w:color="auto"/>
              <w:left w:val="single" w:sz="4" w:space="0" w:color="auto"/>
              <w:bottom w:val="single" w:sz="4" w:space="0" w:color="auto"/>
              <w:right w:val="single" w:sz="4" w:space="0" w:color="auto"/>
            </w:tcBorders>
            <w:shd w:val="pct10" w:color="auto" w:fill="auto"/>
            <w:hideMark/>
          </w:tcPr>
          <w:p w:rsidR="00F729B3" w:rsidRPr="00421B0A" w:rsidRDefault="00F729B3" w:rsidP="007A66EB">
            <w:pPr>
              <w:jc w:val="center"/>
              <w:rPr>
                <w:rFonts w:asciiTheme="minorHAnsi" w:hAnsiTheme="minorHAnsi"/>
                <w:b/>
                <w:sz w:val="22"/>
                <w:szCs w:val="22"/>
              </w:rPr>
            </w:pPr>
            <w:r w:rsidRPr="00421B0A">
              <w:rPr>
                <w:rFonts w:asciiTheme="minorHAnsi" w:hAnsiTheme="minorHAnsi"/>
                <w:b/>
                <w:sz w:val="22"/>
                <w:szCs w:val="22"/>
              </w:rPr>
              <w:t>Bewaartermijn</w:t>
            </w:r>
          </w:p>
        </w:tc>
      </w:tr>
      <w:tr w:rsidR="00F729B3" w:rsidRPr="00421B0A" w:rsidTr="007A66EB">
        <w:tc>
          <w:tcPr>
            <w:tcW w:w="5816" w:type="dxa"/>
            <w:tcBorders>
              <w:top w:val="single" w:sz="4" w:space="0" w:color="auto"/>
              <w:left w:val="single" w:sz="4" w:space="0" w:color="auto"/>
              <w:bottom w:val="single" w:sz="4" w:space="0" w:color="auto"/>
              <w:right w:val="single" w:sz="4" w:space="0" w:color="auto"/>
            </w:tcBorders>
          </w:tcPr>
          <w:p w:rsidR="00F729B3" w:rsidRPr="00421B0A" w:rsidRDefault="00F729B3" w:rsidP="007A66EB">
            <w:pPr>
              <w:rPr>
                <w:rFonts w:asciiTheme="minorHAnsi" w:hAnsiTheme="minorHAnsi"/>
                <w:sz w:val="22"/>
                <w:szCs w:val="22"/>
              </w:rPr>
            </w:pPr>
          </w:p>
        </w:tc>
        <w:tc>
          <w:tcPr>
            <w:tcW w:w="1413" w:type="dxa"/>
            <w:tcBorders>
              <w:top w:val="single" w:sz="4" w:space="0" w:color="auto"/>
              <w:left w:val="single" w:sz="4" w:space="0" w:color="auto"/>
              <w:bottom w:val="single" w:sz="4" w:space="0" w:color="auto"/>
              <w:right w:val="single" w:sz="4" w:space="0" w:color="auto"/>
            </w:tcBorders>
          </w:tcPr>
          <w:p w:rsidR="00F729B3" w:rsidRPr="00421B0A" w:rsidRDefault="00F729B3" w:rsidP="007A66EB">
            <w:pPr>
              <w:rPr>
                <w:rFonts w:asciiTheme="minorHAnsi" w:hAnsiTheme="minorHAnsi"/>
                <w:sz w:val="22"/>
                <w:szCs w:val="22"/>
              </w:rPr>
            </w:pPr>
          </w:p>
        </w:tc>
        <w:tc>
          <w:tcPr>
            <w:tcW w:w="1630" w:type="dxa"/>
            <w:tcBorders>
              <w:top w:val="single" w:sz="4" w:space="0" w:color="auto"/>
              <w:left w:val="single" w:sz="4" w:space="0" w:color="auto"/>
              <w:bottom w:val="single" w:sz="4" w:space="0" w:color="auto"/>
              <w:right w:val="single" w:sz="4" w:space="0" w:color="auto"/>
            </w:tcBorders>
          </w:tcPr>
          <w:p w:rsidR="00F729B3" w:rsidRPr="00421B0A" w:rsidRDefault="00F729B3" w:rsidP="007A66EB">
            <w:pPr>
              <w:rPr>
                <w:rFonts w:asciiTheme="minorHAnsi" w:hAnsiTheme="minorHAnsi"/>
                <w:sz w:val="22"/>
                <w:szCs w:val="22"/>
              </w:rPr>
            </w:pPr>
          </w:p>
        </w:tc>
      </w:tr>
    </w:tbl>
    <w:p w:rsidR="00F729B3" w:rsidRPr="00421B0A" w:rsidRDefault="00F729B3" w:rsidP="00F729B3">
      <w:pPr>
        <w:rPr>
          <w:rFonts w:asciiTheme="minorHAnsi" w:hAnsiTheme="minorHAnsi"/>
          <w:sz w:val="22"/>
          <w:szCs w:val="22"/>
        </w:rPr>
      </w:pPr>
    </w:p>
    <w:p w:rsidR="00F729B3" w:rsidRPr="00421B0A" w:rsidRDefault="00F729B3" w:rsidP="00F729B3">
      <w:pPr>
        <w:pStyle w:val="Kop4"/>
        <w:numPr>
          <w:ilvl w:val="0"/>
          <w:numId w:val="1"/>
        </w:numPr>
        <w:tabs>
          <w:tab w:val="clear" w:pos="720"/>
          <w:tab w:val="num" w:pos="284"/>
        </w:tabs>
        <w:ind w:left="284" w:hanging="284"/>
        <w:rPr>
          <w:rFonts w:asciiTheme="minorHAnsi" w:hAnsiTheme="minorHAnsi"/>
          <w:b/>
          <w:sz w:val="22"/>
          <w:szCs w:val="22"/>
          <w:u w:val="none"/>
        </w:rPr>
      </w:pPr>
      <w:r w:rsidRPr="00421B0A">
        <w:rPr>
          <w:rFonts w:asciiTheme="minorHAnsi" w:hAnsiTheme="minorHAnsi"/>
          <w:b/>
          <w:sz w:val="22"/>
          <w:szCs w:val="22"/>
          <w:u w:val="none"/>
        </w:rPr>
        <w:t>Procesgegevens omtrent het omgaan met dit document</w:t>
      </w:r>
    </w:p>
    <w:p w:rsidR="00F729B3" w:rsidRPr="00421B0A" w:rsidRDefault="00F729B3" w:rsidP="00F729B3">
      <w:pPr>
        <w:rPr>
          <w:rFonts w:asciiTheme="minorHAnsi" w:hAnsiTheme="minorHAnsi"/>
          <w:sz w:val="22"/>
          <w:szCs w:val="22"/>
        </w:rPr>
      </w:pPr>
    </w:p>
    <w:p w:rsidR="00F729B3" w:rsidRPr="00421B0A" w:rsidRDefault="00F729B3" w:rsidP="00F729B3">
      <w:pPr>
        <w:rPr>
          <w:rFonts w:asciiTheme="minorHAnsi" w:hAnsiTheme="minorHAnsi"/>
          <w:sz w:val="22"/>
          <w:szCs w:val="22"/>
        </w:rPr>
      </w:pPr>
      <w:r w:rsidRPr="00421B0A">
        <w:rPr>
          <w:rFonts w:asciiTheme="minorHAnsi" w:hAnsiTheme="minorHAnsi"/>
          <w:sz w:val="22"/>
          <w:szCs w:val="22"/>
        </w:rPr>
        <w:t xml:space="preserve">Dit document is </w:t>
      </w:r>
      <w:r w:rsidRPr="00752F2C">
        <w:rPr>
          <w:rFonts w:asciiTheme="minorHAnsi" w:hAnsiTheme="minorHAnsi"/>
          <w:b/>
          <w:color w:val="008080"/>
          <w:sz w:val="22"/>
          <w:szCs w:val="22"/>
        </w:rPr>
        <w:t>getoetst</w:t>
      </w:r>
      <w:r>
        <w:rPr>
          <w:rFonts w:asciiTheme="minorHAnsi" w:hAnsiTheme="minorHAnsi"/>
          <w:b/>
          <w:color w:val="008080"/>
          <w:sz w:val="22"/>
          <w:szCs w:val="22"/>
        </w:rPr>
        <w:t xml:space="preserve"> en goedgekeurd</w:t>
      </w:r>
      <w:r w:rsidRPr="00752F2C">
        <w:rPr>
          <w:rFonts w:asciiTheme="minorHAnsi" w:hAnsiTheme="minorHAnsi"/>
          <w:color w:val="008080"/>
          <w:sz w:val="22"/>
          <w:szCs w:val="22"/>
        </w:rPr>
        <w:t xml:space="preserve"> </w:t>
      </w:r>
      <w:r w:rsidRPr="00752F2C">
        <w:rPr>
          <w:rFonts w:asciiTheme="minorHAnsi" w:hAnsiTheme="minorHAnsi"/>
          <w:sz w:val="22"/>
          <w:szCs w:val="22"/>
        </w:rPr>
        <w:t>op</w:t>
      </w:r>
      <w:r>
        <w:rPr>
          <w:rFonts w:asciiTheme="minorHAnsi" w:hAnsiTheme="minorHAnsi"/>
          <w:sz w:val="22"/>
          <w:szCs w:val="22"/>
        </w:rPr>
        <w:t xml:space="preserve"> </w:t>
      </w:r>
      <w:r w:rsidRPr="00752F2C">
        <w:rPr>
          <w:rFonts w:asciiTheme="minorHAnsi" w:hAnsiTheme="minorHAnsi"/>
          <w:i/>
          <w:sz w:val="22"/>
          <w:szCs w:val="22"/>
        </w:rPr>
        <w:t>datum</w:t>
      </w:r>
      <w:r>
        <w:rPr>
          <w:rFonts w:asciiTheme="minorHAnsi" w:hAnsiTheme="minorHAnsi"/>
          <w:sz w:val="22"/>
          <w:szCs w:val="22"/>
        </w:rPr>
        <w:t xml:space="preserve">, door </w:t>
      </w:r>
      <w:r w:rsidRPr="00752F2C">
        <w:rPr>
          <w:rFonts w:asciiTheme="minorHAnsi" w:hAnsiTheme="minorHAnsi"/>
          <w:i/>
          <w:sz w:val="22"/>
          <w:szCs w:val="22"/>
        </w:rPr>
        <w:t>overlegorgaan of personen</w:t>
      </w:r>
    </w:p>
    <w:p w:rsidR="00F729B3" w:rsidRPr="00421B0A" w:rsidRDefault="00F729B3" w:rsidP="00F729B3">
      <w:pPr>
        <w:rPr>
          <w:rFonts w:asciiTheme="minorHAnsi" w:hAnsiTheme="minorHAnsi"/>
          <w:sz w:val="22"/>
          <w:szCs w:val="22"/>
          <w:lang w:val="nl-BE"/>
        </w:rPr>
      </w:pPr>
      <w:r w:rsidRPr="00421B0A">
        <w:rPr>
          <w:rFonts w:asciiTheme="minorHAnsi" w:hAnsiTheme="minorHAnsi"/>
          <w:sz w:val="22"/>
          <w:szCs w:val="22"/>
          <w:lang w:val="nl-BE"/>
        </w:rPr>
        <w:t xml:space="preserve">Dit document en zijn bijlagen worden </w:t>
      </w:r>
      <w:r w:rsidRPr="00752F2C">
        <w:rPr>
          <w:rFonts w:asciiTheme="minorHAnsi" w:hAnsiTheme="minorHAnsi"/>
          <w:b/>
          <w:color w:val="008080"/>
          <w:sz w:val="22"/>
          <w:szCs w:val="22"/>
          <w:lang w:val="nl-BE"/>
        </w:rPr>
        <w:t>geïnformeerd</w:t>
      </w:r>
      <w:r w:rsidRPr="00752F2C">
        <w:rPr>
          <w:rFonts w:asciiTheme="minorHAnsi" w:hAnsiTheme="minorHAnsi"/>
          <w:color w:val="008080"/>
          <w:sz w:val="22"/>
          <w:szCs w:val="22"/>
          <w:lang w:val="nl-BE"/>
        </w:rPr>
        <w:t xml:space="preserve"> </w:t>
      </w:r>
      <w:r w:rsidRPr="00421B0A">
        <w:rPr>
          <w:rFonts w:asciiTheme="minorHAnsi" w:hAnsiTheme="minorHAnsi"/>
          <w:sz w:val="22"/>
          <w:szCs w:val="22"/>
          <w:lang w:val="nl-BE"/>
        </w:rPr>
        <w:t>aan:</w:t>
      </w:r>
    </w:p>
    <w:p w:rsidR="00F729B3" w:rsidRPr="00421B0A" w:rsidRDefault="00F729B3" w:rsidP="00F729B3">
      <w:pPr>
        <w:rPr>
          <w:rFonts w:asciiTheme="minorHAnsi" w:hAnsiTheme="minorHAnsi"/>
          <w:sz w:val="22"/>
          <w:szCs w:val="22"/>
        </w:rPr>
      </w:pPr>
    </w:p>
    <w:p w:rsidR="00F729B3" w:rsidRPr="00421B0A" w:rsidRDefault="00F729B3" w:rsidP="00F729B3">
      <w:pPr>
        <w:rPr>
          <w:rFonts w:asciiTheme="minorHAnsi" w:hAnsiTheme="minorHAnsi"/>
          <w:sz w:val="22"/>
          <w:szCs w:val="22"/>
        </w:rPr>
      </w:pPr>
      <w:r w:rsidRPr="00421B0A">
        <w:rPr>
          <w:rFonts w:asciiTheme="minorHAnsi" w:hAnsiTheme="minorHAnsi"/>
          <w:sz w:val="22"/>
          <w:szCs w:val="22"/>
        </w:rPr>
        <w:t xml:space="preserve">Naast de exemplaren voor het kwaliteitshandboek, worden verder geen andere </w:t>
      </w:r>
      <w:r w:rsidRPr="00421B0A">
        <w:rPr>
          <w:rFonts w:asciiTheme="minorHAnsi" w:hAnsiTheme="minorHAnsi"/>
          <w:b/>
          <w:sz w:val="22"/>
          <w:szCs w:val="22"/>
        </w:rPr>
        <w:t>kopieën</w:t>
      </w:r>
      <w:r w:rsidRPr="00421B0A">
        <w:rPr>
          <w:rFonts w:asciiTheme="minorHAnsi" w:hAnsiTheme="minorHAnsi"/>
          <w:sz w:val="22"/>
          <w:szCs w:val="22"/>
        </w:rPr>
        <w:t xml:space="preserve"> van deze procedure en zijn bijlagen voorzien.</w:t>
      </w:r>
      <w:r>
        <w:rPr>
          <w:rFonts w:asciiTheme="minorHAnsi" w:hAnsiTheme="minorHAnsi"/>
          <w:sz w:val="22"/>
          <w:szCs w:val="22"/>
        </w:rPr>
        <w:t xml:space="preserve"> </w:t>
      </w:r>
      <w:r w:rsidRPr="00421B0A">
        <w:rPr>
          <w:rFonts w:asciiTheme="minorHAnsi" w:hAnsiTheme="minorHAnsi"/>
          <w:sz w:val="22"/>
          <w:szCs w:val="22"/>
          <w:lang w:val="nl-BE"/>
        </w:rPr>
        <w:t xml:space="preserve">De twee voorgaande exemplaren van dit document worden telkens </w:t>
      </w:r>
      <w:r w:rsidRPr="00421B0A">
        <w:rPr>
          <w:rFonts w:asciiTheme="minorHAnsi" w:hAnsiTheme="minorHAnsi"/>
          <w:b/>
          <w:sz w:val="22"/>
          <w:szCs w:val="22"/>
        </w:rPr>
        <w:t>gearchiveerd</w:t>
      </w:r>
      <w:r w:rsidRPr="00421B0A">
        <w:rPr>
          <w:rFonts w:asciiTheme="minorHAnsi" w:hAnsiTheme="minorHAnsi"/>
          <w:sz w:val="22"/>
          <w:szCs w:val="22"/>
          <w:lang w:val="nl-BE"/>
        </w:rPr>
        <w:t xml:space="preserve"> door de kwaliteitscoördinator</w:t>
      </w:r>
      <w:r>
        <w:rPr>
          <w:rFonts w:asciiTheme="minorHAnsi" w:hAnsiTheme="minorHAnsi"/>
          <w:sz w:val="22"/>
          <w:szCs w:val="22"/>
          <w:lang w:val="nl-BE"/>
        </w:rPr>
        <w:t>.</w:t>
      </w:r>
    </w:p>
    <w:p w:rsidR="00F729B3" w:rsidRPr="00E90B9B" w:rsidRDefault="00F729B3" w:rsidP="00482798">
      <w:pPr>
        <w:pStyle w:val="Tekstzonderopmaak"/>
        <w:keepLines/>
        <w:rPr>
          <w:rFonts w:ascii="Arial" w:hAnsi="Arial" w:cs="Arial"/>
          <w:sz w:val="22"/>
          <w:szCs w:val="22"/>
        </w:rPr>
      </w:pPr>
    </w:p>
    <w:sectPr w:rsidR="00F729B3" w:rsidRPr="00E90B9B" w:rsidSect="007B57B2">
      <w:headerReference w:type="default" r:id="rId12"/>
      <w:footerReference w:type="default" r:id="rId13"/>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D3D" w:rsidRDefault="00E83D3D">
      <w:r>
        <w:separator/>
      </w:r>
    </w:p>
  </w:endnote>
  <w:endnote w:type="continuationSeparator" w:id="0">
    <w:p w:rsidR="00E83D3D" w:rsidRDefault="00E83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pio Condensed">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144480"/>
      <w:docPartObj>
        <w:docPartGallery w:val="Page Numbers (Bottom of Page)"/>
        <w:docPartUnique/>
      </w:docPartObj>
    </w:sdtPr>
    <w:sdtEndPr>
      <w:rPr>
        <w:rFonts w:asciiTheme="minorHAnsi" w:hAnsiTheme="minorHAnsi" w:cstheme="minorHAnsi"/>
      </w:rPr>
    </w:sdtEndPr>
    <w:sdtContent>
      <w:p w:rsidR="00F729B3" w:rsidRPr="00F729B3" w:rsidRDefault="00F729B3">
        <w:pPr>
          <w:pStyle w:val="Voettekst"/>
          <w:jc w:val="right"/>
          <w:rPr>
            <w:rFonts w:asciiTheme="minorHAnsi" w:hAnsiTheme="minorHAnsi" w:cstheme="minorHAnsi"/>
          </w:rPr>
        </w:pPr>
        <w:r w:rsidRPr="00F729B3">
          <w:rPr>
            <w:rFonts w:asciiTheme="minorHAnsi" w:hAnsiTheme="minorHAnsi" w:cstheme="minorHAnsi"/>
          </w:rPr>
          <w:fldChar w:fldCharType="begin"/>
        </w:r>
        <w:r w:rsidRPr="00F729B3">
          <w:rPr>
            <w:rFonts w:asciiTheme="minorHAnsi" w:hAnsiTheme="minorHAnsi" w:cstheme="minorHAnsi"/>
          </w:rPr>
          <w:instrText>PAGE   \* MERGEFORMAT</w:instrText>
        </w:r>
        <w:r w:rsidRPr="00F729B3">
          <w:rPr>
            <w:rFonts w:asciiTheme="minorHAnsi" w:hAnsiTheme="minorHAnsi" w:cstheme="minorHAnsi"/>
          </w:rPr>
          <w:fldChar w:fldCharType="separate"/>
        </w:r>
        <w:r w:rsidR="00252773">
          <w:rPr>
            <w:rFonts w:asciiTheme="minorHAnsi" w:hAnsiTheme="minorHAnsi" w:cstheme="minorHAnsi"/>
            <w:noProof/>
          </w:rPr>
          <w:t>4</w:t>
        </w:r>
        <w:r w:rsidRPr="00F729B3">
          <w:rPr>
            <w:rFonts w:asciiTheme="minorHAnsi" w:hAnsiTheme="minorHAnsi" w:cstheme="minorHAnsi"/>
          </w:rPr>
          <w:fldChar w:fldCharType="end"/>
        </w:r>
      </w:p>
    </w:sdtContent>
  </w:sdt>
  <w:p w:rsidR="00C20CAA" w:rsidRPr="00C20CAA" w:rsidRDefault="00C20CAA">
    <w:pPr>
      <w:pStyle w:val="Voettekst"/>
      <w:rPr>
        <w:rFonts w:ascii="Arial" w:hAnsi="Arial" w:cs="Arial"/>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D3D" w:rsidRDefault="00E83D3D">
      <w:r>
        <w:separator/>
      </w:r>
    </w:p>
  </w:footnote>
  <w:footnote w:type="continuationSeparator" w:id="0">
    <w:p w:rsidR="00E83D3D" w:rsidRDefault="00E83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EB5" w:rsidRDefault="00217EB5">
    <w:pPr>
      <w:pStyle w:val="Koptekst"/>
    </w:pPr>
  </w:p>
  <w:tbl>
    <w:tblPr>
      <w:tblW w:w="921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2870"/>
      <w:gridCol w:w="3400"/>
      <w:gridCol w:w="2305"/>
      <w:gridCol w:w="637"/>
    </w:tblGrid>
    <w:tr w:rsidR="009C4CAF" w:rsidRPr="00B6492E" w:rsidTr="007A66EB">
      <w:tc>
        <w:tcPr>
          <w:tcW w:w="2870" w:type="dxa"/>
          <w:tcBorders>
            <w:right w:val="nil"/>
          </w:tcBorders>
          <w:shd w:val="clear" w:color="auto" w:fill="BFBFBF" w:themeFill="background1" w:themeFillShade="BF"/>
        </w:tcPr>
        <w:p w:rsidR="009C4CAF" w:rsidRPr="00B6492E" w:rsidRDefault="009C4CAF" w:rsidP="009C4CAF">
          <w:pPr>
            <w:pStyle w:val="Koptekst"/>
            <w:jc w:val="center"/>
            <w:rPr>
              <w:rFonts w:asciiTheme="minorHAnsi" w:hAnsiTheme="minorHAnsi"/>
              <w:b/>
              <w:noProof/>
              <w:sz w:val="22"/>
              <w:szCs w:val="22"/>
              <w:lang w:val="nl-BE" w:eastAsia="nl-BE"/>
            </w:rPr>
          </w:pPr>
          <w:r w:rsidRPr="00B6492E">
            <w:rPr>
              <w:rFonts w:asciiTheme="minorHAnsi" w:hAnsiTheme="minorHAnsi"/>
              <w:b/>
              <w:noProof/>
              <w:sz w:val="22"/>
              <w:szCs w:val="22"/>
              <w:lang w:val="nl-BE" w:eastAsia="nl-BE"/>
            </w:rPr>
            <w:drawing>
              <wp:inline distT="0" distB="0" distL="0" distR="0" wp14:anchorId="428DC647" wp14:editId="53FC6616">
                <wp:extent cx="1762125" cy="228600"/>
                <wp:effectExtent l="0" t="0" r="9525" b="0"/>
                <wp:docPr id="2" name="Afbeelding 2" descr="log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228600"/>
                        </a:xfrm>
                        <a:prstGeom prst="rect">
                          <a:avLst/>
                        </a:prstGeom>
                        <a:noFill/>
                        <a:ln>
                          <a:noFill/>
                        </a:ln>
                      </pic:spPr>
                    </pic:pic>
                  </a:graphicData>
                </a:graphic>
              </wp:inline>
            </w:drawing>
          </w:r>
        </w:p>
      </w:tc>
      <w:tc>
        <w:tcPr>
          <w:tcW w:w="6342" w:type="dxa"/>
          <w:gridSpan w:val="3"/>
          <w:tcBorders>
            <w:left w:val="nil"/>
          </w:tcBorders>
          <w:shd w:val="clear" w:color="auto" w:fill="BFBFBF" w:themeFill="background1" w:themeFillShade="BF"/>
          <w:vAlign w:val="center"/>
        </w:tcPr>
        <w:p w:rsidR="009C4CAF" w:rsidRPr="00B6492E" w:rsidRDefault="009C4CAF" w:rsidP="009C4CAF">
          <w:pPr>
            <w:pStyle w:val="Koptekst"/>
            <w:tabs>
              <w:tab w:val="left" w:pos="1470"/>
            </w:tabs>
            <w:jc w:val="center"/>
            <w:rPr>
              <w:rStyle w:val="Paginanummer"/>
              <w:rFonts w:asciiTheme="minorHAnsi" w:hAnsiTheme="minorHAnsi"/>
              <w:b/>
              <w:sz w:val="24"/>
              <w:szCs w:val="24"/>
            </w:rPr>
          </w:pPr>
          <w:r w:rsidRPr="00B6492E">
            <w:rPr>
              <w:rStyle w:val="Paginanummer"/>
              <w:rFonts w:asciiTheme="minorHAnsi" w:hAnsiTheme="minorHAnsi"/>
              <w:b/>
              <w:sz w:val="24"/>
              <w:szCs w:val="24"/>
            </w:rPr>
            <w:t>KWALITEITSHANDBOEK</w:t>
          </w:r>
        </w:p>
      </w:tc>
    </w:tr>
    <w:tr w:rsidR="009C4CAF" w:rsidRPr="00B6492E" w:rsidTr="007A66EB">
      <w:tc>
        <w:tcPr>
          <w:tcW w:w="6270" w:type="dxa"/>
          <w:gridSpan w:val="2"/>
          <w:shd w:val="clear" w:color="auto" w:fill="F2F2F2" w:themeFill="background1" w:themeFillShade="F2"/>
        </w:tcPr>
        <w:p w:rsidR="009C4CAF" w:rsidRPr="00B6492E" w:rsidRDefault="009C4CAF" w:rsidP="009C4CAF">
          <w:pPr>
            <w:pStyle w:val="Koptekst"/>
            <w:rPr>
              <w:rFonts w:asciiTheme="minorHAnsi" w:hAnsiTheme="minorHAnsi"/>
              <w:b/>
              <w:sz w:val="22"/>
              <w:szCs w:val="22"/>
            </w:rPr>
          </w:pPr>
        </w:p>
        <w:p w:rsidR="009C4CAF" w:rsidRDefault="009C4CAF" w:rsidP="009C4CAF">
          <w:pPr>
            <w:pStyle w:val="Koptekst"/>
            <w:rPr>
              <w:rFonts w:asciiTheme="minorHAnsi" w:hAnsiTheme="minorHAnsi"/>
              <w:b/>
              <w:sz w:val="22"/>
              <w:szCs w:val="22"/>
            </w:rPr>
          </w:pPr>
          <w:r>
            <w:rPr>
              <w:rFonts w:asciiTheme="minorHAnsi" w:hAnsiTheme="minorHAnsi"/>
              <w:b/>
              <w:sz w:val="22"/>
              <w:szCs w:val="22"/>
            </w:rPr>
            <w:t>Hoofdstuk 5</w:t>
          </w:r>
          <w:r w:rsidRPr="00B6492E">
            <w:rPr>
              <w:rFonts w:asciiTheme="minorHAnsi" w:hAnsiTheme="minorHAnsi"/>
              <w:b/>
              <w:sz w:val="22"/>
              <w:szCs w:val="22"/>
            </w:rPr>
            <w:t xml:space="preserve">: </w:t>
          </w:r>
          <w:r>
            <w:rPr>
              <w:rFonts w:asciiTheme="minorHAnsi" w:hAnsiTheme="minorHAnsi"/>
              <w:b/>
              <w:sz w:val="22"/>
              <w:szCs w:val="22"/>
            </w:rPr>
            <w:t>Gebruikersgerichte processen</w:t>
          </w:r>
        </w:p>
        <w:p w:rsidR="00252773" w:rsidRPr="007222F5" w:rsidRDefault="00252773" w:rsidP="00252773">
          <w:pPr>
            <w:pStyle w:val="Koptekst"/>
            <w:tabs>
              <w:tab w:val="left" w:pos="284"/>
            </w:tabs>
            <w:rPr>
              <w:rFonts w:ascii="Calibri" w:hAnsi="Calibri"/>
              <w:b/>
              <w:sz w:val="22"/>
              <w:szCs w:val="22"/>
            </w:rPr>
          </w:pPr>
          <w:r>
            <w:rPr>
              <w:rFonts w:ascii="Calibri" w:hAnsi="Calibri"/>
              <w:b/>
              <w:color w:val="008080"/>
              <w:sz w:val="22"/>
              <w:szCs w:val="22"/>
            </w:rPr>
            <w:tab/>
          </w:r>
          <w:r w:rsidRPr="007222F5">
            <w:rPr>
              <w:rFonts w:ascii="Calibri" w:hAnsi="Calibri"/>
              <w:b/>
              <w:sz w:val="22"/>
              <w:szCs w:val="22"/>
            </w:rPr>
            <w:t>Thema 6: Voorkomen, detecteren en reageren op GOG</w:t>
          </w:r>
        </w:p>
        <w:p w:rsidR="00252773" w:rsidRPr="007222F5" w:rsidRDefault="00252773" w:rsidP="00252773">
          <w:pPr>
            <w:pStyle w:val="Koptekst"/>
            <w:tabs>
              <w:tab w:val="left" w:pos="284"/>
              <w:tab w:val="left" w:pos="567"/>
            </w:tabs>
            <w:rPr>
              <w:rFonts w:ascii="Calibri" w:hAnsi="Calibri"/>
              <w:b/>
              <w:sz w:val="22"/>
              <w:szCs w:val="22"/>
            </w:rPr>
          </w:pPr>
          <w:r>
            <w:rPr>
              <w:rFonts w:ascii="Calibri" w:hAnsi="Calibri"/>
              <w:b/>
              <w:color w:val="008080"/>
              <w:sz w:val="22"/>
              <w:szCs w:val="22"/>
            </w:rPr>
            <w:tab/>
          </w:r>
          <w:r>
            <w:rPr>
              <w:rFonts w:ascii="Calibri" w:hAnsi="Calibri"/>
              <w:b/>
              <w:color w:val="008080"/>
              <w:sz w:val="22"/>
              <w:szCs w:val="22"/>
            </w:rPr>
            <w:tab/>
          </w:r>
          <w:r>
            <w:rPr>
              <w:rFonts w:ascii="Calibri" w:hAnsi="Calibri"/>
              <w:b/>
              <w:sz w:val="22"/>
              <w:szCs w:val="22"/>
            </w:rPr>
            <w:t>Deel 2</w:t>
          </w:r>
          <w:r w:rsidRPr="007222F5">
            <w:rPr>
              <w:rFonts w:ascii="Calibri" w:hAnsi="Calibri"/>
              <w:b/>
              <w:sz w:val="22"/>
              <w:szCs w:val="22"/>
            </w:rPr>
            <w:t xml:space="preserve"> – </w:t>
          </w:r>
          <w:r>
            <w:rPr>
              <w:rFonts w:ascii="Calibri" w:hAnsi="Calibri"/>
              <w:b/>
              <w:sz w:val="22"/>
              <w:szCs w:val="22"/>
            </w:rPr>
            <w:t>relaties - seksualiteit</w:t>
          </w:r>
        </w:p>
        <w:p w:rsidR="009C4CAF" w:rsidRPr="00B6492E" w:rsidRDefault="009C4CAF" w:rsidP="009C4CAF">
          <w:pPr>
            <w:pStyle w:val="Koptekst"/>
            <w:rPr>
              <w:rFonts w:asciiTheme="minorHAnsi" w:hAnsiTheme="minorHAnsi"/>
              <w:b/>
              <w:color w:val="008080"/>
              <w:sz w:val="22"/>
              <w:szCs w:val="22"/>
            </w:rPr>
          </w:pPr>
          <w:r>
            <w:rPr>
              <w:rFonts w:asciiTheme="minorHAnsi" w:hAnsiTheme="minorHAnsi"/>
              <w:b/>
              <w:color w:val="008080"/>
              <w:sz w:val="22"/>
              <w:szCs w:val="22"/>
            </w:rPr>
            <w:t>Document</w:t>
          </w:r>
          <w:r w:rsidRPr="00B6492E">
            <w:rPr>
              <w:rFonts w:asciiTheme="minorHAnsi" w:hAnsiTheme="minorHAnsi"/>
              <w:b/>
              <w:color w:val="008080"/>
              <w:sz w:val="22"/>
              <w:szCs w:val="22"/>
            </w:rPr>
            <w:t xml:space="preserve">: </w:t>
          </w:r>
          <w:r>
            <w:rPr>
              <w:rFonts w:asciiTheme="minorHAnsi" w:hAnsiTheme="minorHAnsi"/>
              <w:b/>
              <w:color w:val="008080"/>
              <w:sz w:val="22"/>
              <w:szCs w:val="22"/>
            </w:rPr>
            <w:t>Relaties en seksualiteit - Preventiebeleid</w:t>
          </w:r>
        </w:p>
        <w:p w:rsidR="009C4CAF" w:rsidRPr="00B6492E" w:rsidRDefault="009C4CAF" w:rsidP="009C4CAF">
          <w:pPr>
            <w:pStyle w:val="Koptekst"/>
            <w:rPr>
              <w:rFonts w:asciiTheme="minorHAnsi" w:hAnsiTheme="minorHAnsi"/>
              <w:b/>
              <w:sz w:val="22"/>
              <w:szCs w:val="22"/>
            </w:rPr>
          </w:pPr>
        </w:p>
      </w:tc>
      <w:tc>
        <w:tcPr>
          <w:tcW w:w="2305" w:type="dxa"/>
          <w:shd w:val="clear" w:color="auto" w:fill="F2F2F2" w:themeFill="background1" w:themeFillShade="F2"/>
        </w:tcPr>
        <w:p w:rsidR="009C4CAF" w:rsidRPr="00B6492E" w:rsidRDefault="009C4CAF" w:rsidP="009C4CAF">
          <w:pPr>
            <w:pStyle w:val="Koptekst"/>
            <w:rPr>
              <w:rFonts w:asciiTheme="minorHAnsi" w:hAnsiTheme="minorHAnsi"/>
              <w:b/>
              <w:sz w:val="22"/>
              <w:szCs w:val="22"/>
            </w:rPr>
          </w:pPr>
        </w:p>
        <w:p w:rsidR="009C4CAF" w:rsidRPr="00B6492E" w:rsidRDefault="009C4CAF" w:rsidP="009C4CAF">
          <w:pPr>
            <w:pStyle w:val="Koptekst"/>
            <w:rPr>
              <w:rFonts w:asciiTheme="minorHAnsi" w:hAnsiTheme="minorHAnsi"/>
              <w:b/>
              <w:sz w:val="22"/>
              <w:szCs w:val="22"/>
            </w:rPr>
          </w:pPr>
          <w:r>
            <w:rPr>
              <w:rFonts w:asciiTheme="minorHAnsi" w:hAnsiTheme="minorHAnsi"/>
              <w:b/>
              <w:sz w:val="22"/>
              <w:szCs w:val="22"/>
            </w:rPr>
            <w:t>Versie 2025</w:t>
          </w:r>
          <w:r w:rsidRPr="00B6492E">
            <w:rPr>
              <w:rFonts w:asciiTheme="minorHAnsi" w:hAnsiTheme="minorHAnsi"/>
              <w:b/>
              <w:sz w:val="22"/>
              <w:szCs w:val="22"/>
            </w:rPr>
            <w:t>/1</w:t>
          </w:r>
        </w:p>
        <w:p w:rsidR="009C4CAF" w:rsidRPr="00B6492E" w:rsidRDefault="009C4CAF" w:rsidP="009C4CAF">
          <w:pPr>
            <w:pStyle w:val="Koptekst"/>
            <w:rPr>
              <w:rFonts w:asciiTheme="minorHAnsi" w:hAnsiTheme="minorHAnsi"/>
              <w:b/>
              <w:sz w:val="22"/>
              <w:szCs w:val="22"/>
            </w:rPr>
          </w:pPr>
          <w:r>
            <w:rPr>
              <w:rFonts w:asciiTheme="minorHAnsi" w:hAnsiTheme="minorHAnsi"/>
              <w:b/>
              <w:sz w:val="22"/>
              <w:szCs w:val="22"/>
            </w:rPr>
            <w:t>Kim Struyf</w:t>
          </w:r>
        </w:p>
        <w:p w:rsidR="009C4CAF" w:rsidRPr="00B6492E" w:rsidRDefault="009C4CAF" w:rsidP="009C4CAF">
          <w:pPr>
            <w:pStyle w:val="Koptekst"/>
            <w:rPr>
              <w:rFonts w:asciiTheme="minorHAnsi" w:hAnsiTheme="minorHAnsi"/>
              <w:b/>
              <w:sz w:val="22"/>
              <w:szCs w:val="22"/>
            </w:rPr>
          </w:pPr>
          <w:r w:rsidRPr="00B6492E">
            <w:rPr>
              <w:rFonts w:asciiTheme="minorHAnsi" w:hAnsiTheme="minorHAnsi"/>
              <w:b/>
              <w:sz w:val="22"/>
              <w:szCs w:val="22"/>
            </w:rPr>
            <w:t>Evaluatiefrequentie:</w:t>
          </w:r>
          <w:r>
            <w:rPr>
              <w:rFonts w:asciiTheme="minorHAnsi" w:hAnsiTheme="minorHAnsi"/>
              <w:b/>
              <w:sz w:val="22"/>
              <w:szCs w:val="22"/>
            </w:rPr>
            <w:t xml:space="preserve"> 2</w:t>
          </w:r>
          <w:r w:rsidRPr="00B6492E">
            <w:rPr>
              <w:rFonts w:asciiTheme="minorHAnsi" w:hAnsiTheme="minorHAnsi"/>
              <w:b/>
              <w:sz w:val="22"/>
              <w:szCs w:val="22"/>
            </w:rPr>
            <w:t xml:space="preserve"> </w:t>
          </w:r>
        </w:p>
      </w:tc>
      <w:tc>
        <w:tcPr>
          <w:tcW w:w="637" w:type="dxa"/>
          <w:shd w:val="clear" w:color="auto" w:fill="F2F2F2" w:themeFill="background1" w:themeFillShade="F2"/>
        </w:tcPr>
        <w:p w:rsidR="009C4CAF" w:rsidRPr="00B6492E" w:rsidRDefault="009C4CAF" w:rsidP="009C4CAF">
          <w:pPr>
            <w:pStyle w:val="Koptekst"/>
            <w:rPr>
              <w:rStyle w:val="Paginanummer"/>
              <w:rFonts w:asciiTheme="minorHAnsi" w:hAnsiTheme="minorHAnsi"/>
              <w:b/>
              <w:sz w:val="22"/>
              <w:szCs w:val="22"/>
            </w:rPr>
          </w:pPr>
        </w:p>
        <w:p w:rsidR="009C4CAF" w:rsidRPr="00B6492E" w:rsidRDefault="009C4CAF" w:rsidP="009C4CAF">
          <w:pPr>
            <w:pStyle w:val="Koptekst"/>
            <w:rPr>
              <w:rFonts w:asciiTheme="minorHAnsi" w:hAnsiTheme="minorHAnsi"/>
              <w:b/>
              <w:sz w:val="22"/>
              <w:szCs w:val="22"/>
            </w:rPr>
          </w:pPr>
          <w:r w:rsidRPr="00B6492E">
            <w:rPr>
              <w:rStyle w:val="Paginanummer"/>
              <w:rFonts w:asciiTheme="minorHAnsi" w:hAnsiTheme="minorHAnsi"/>
              <w:b/>
              <w:sz w:val="22"/>
              <w:szCs w:val="22"/>
            </w:rPr>
            <w:fldChar w:fldCharType="begin"/>
          </w:r>
          <w:r w:rsidRPr="00B6492E">
            <w:rPr>
              <w:rStyle w:val="Paginanummer"/>
              <w:rFonts w:asciiTheme="minorHAnsi" w:hAnsiTheme="minorHAnsi"/>
              <w:b/>
              <w:sz w:val="22"/>
              <w:szCs w:val="22"/>
            </w:rPr>
            <w:instrText xml:space="preserve"> PAGE </w:instrText>
          </w:r>
          <w:r w:rsidRPr="00B6492E">
            <w:rPr>
              <w:rStyle w:val="Paginanummer"/>
              <w:rFonts w:asciiTheme="minorHAnsi" w:hAnsiTheme="minorHAnsi"/>
              <w:b/>
              <w:sz w:val="22"/>
              <w:szCs w:val="22"/>
            </w:rPr>
            <w:fldChar w:fldCharType="separate"/>
          </w:r>
          <w:r w:rsidR="00252773">
            <w:rPr>
              <w:rStyle w:val="Paginanummer"/>
              <w:rFonts w:asciiTheme="minorHAnsi" w:hAnsiTheme="minorHAnsi"/>
              <w:b/>
              <w:noProof/>
              <w:sz w:val="22"/>
              <w:szCs w:val="22"/>
            </w:rPr>
            <w:t>4</w:t>
          </w:r>
          <w:r w:rsidRPr="00B6492E">
            <w:rPr>
              <w:rStyle w:val="Paginanummer"/>
              <w:rFonts w:asciiTheme="minorHAnsi" w:hAnsiTheme="minorHAnsi"/>
              <w:b/>
              <w:sz w:val="22"/>
              <w:szCs w:val="22"/>
            </w:rPr>
            <w:fldChar w:fldCharType="end"/>
          </w:r>
          <w:r w:rsidRPr="00B6492E">
            <w:rPr>
              <w:rStyle w:val="Paginanummer"/>
              <w:rFonts w:asciiTheme="minorHAnsi" w:hAnsiTheme="minorHAnsi"/>
              <w:b/>
              <w:sz w:val="22"/>
              <w:szCs w:val="22"/>
            </w:rPr>
            <w:t>/</w:t>
          </w:r>
          <w:r w:rsidRPr="00B6492E">
            <w:rPr>
              <w:rStyle w:val="Paginanummer"/>
              <w:rFonts w:asciiTheme="minorHAnsi" w:hAnsiTheme="minorHAnsi"/>
              <w:b/>
              <w:sz w:val="22"/>
              <w:szCs w:val="22"/>
            </w:rPr>
            <w:fldChar w:fldCharType="begin"/>
          </w:r>
          <w:r w:rsidRPr="00B6492E">
            <w:rPr>
              <w:rStyle w:val="Paginanummer"/>
              <w:rFonts w:asciiTheme="minorHAnsi" w:hAnsiTheme="minorHAnsi"/>
              <w:b/>
              <w:sz w:val="22"/>
              <w:szCs w:val="22"/>
            </w:rPr>
            <w:instrText xml:space="preserve"> NUMPAGES </w:instrText>
          </w:r>
          <w:r w:rsidRPr="00B6492E">
            <w:rPr>
              <w:rStyle w:val="Paginanummer"/>
              <w:rFonts w:asciiTheme="minorHAnsi" w:hAnsiTheme="minorHAnsi"/>
              <w:b/>
              <w:sz w:val="22"/>
              <w:szCs w:val="22"/>
            </w:rPr>
            <w:fldChar w:fldCharType="separate"/>
          </w:r>
          <w:r w:rsidR="00252773">
            <w:rPr>
              <w:rStyle w:val="Paginanummer"/>
              <w:rFonts w:asciiTheme="minorHAnsi" w:hAnsiTheme="minorHAnsi"/>
              <w:b/>
              <w:noProof/>
              <w:sz w:val="22"/>
              <w:szCs w:val="22"/>
            </w:rPr>
            <w:t>4</w:t>
          </w:r>
          <w:r w:rsidRPr="00B6492E">
            <w:rPr>
              <w:rStyle w:val="Paginanummer"/>
              <w:rFonts w:asciiTheme="minorHAnsi" w:hAnsiTheme="minorHAnsi"/>
              <w:b/>
              <w:sz w:val="22"/>
              <w:szCs w:val="22"/>
            </w:rPr>
            <w:fldChar w:fldCharType="end"/>
          </w:r>
        </w:p>
      </w:tc>
    </w:tr>
  </w:tbl>
  <w:p w:rsidR="009C4CAF" w:rsidRDefault="009C4C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F4648"/>
    <w:multiLevelType w:val="hybridMultilevel"/>
    <w:tmpl w:val="1D98D4EC"/>
    <w:lvl w:ilvl="0" w:tplc="0813000F">
      <w:start w:val="1"/>
      <w:numFmt w:val="decimal"/>
      <w:lvlText w:val="%1."/>
      <w:lvlJc w:val="left"/>
      <w:pPr>
        <w:ind w:left="1146" w:hanging="360"/>
      </w:pPr>
    </w:lvl>
    <w:lvl w:ilvl="1" w:tplc="08130019" w:tentative="1">
      <w:start w:val="1"/>
      <w:numFmt w:val="lowerLetter"/>
      <w:lvlText w:val="%2."/>
      <w:lvlJc w:val="left"/>
      <w:pPr>
        <w:ind w:left="1866" w:hanging="360"/>
      </w:pPr>
    </w:lvl>
    <w:lvl w:ilvl="2" w:tplc="0813001B" w:tentative="1">
      <w:start w:val="1"/>
      <w:numFmt w:val="lowerRoman"/>
      <w:lvlText w:val="%3."/>
      <w:lvlJc w:val="right"/>
      <w:pPr>
        <w:ind w:left="2586" w:hanging="180"/>
      </w:pPr>
    </w:lvl>
    <w:lvl w:ilvl="3" w:tplc="0813000F" w:tentative="1">
      <w:start w:val="1"/>
      <w:numFmt w:val="decimal"/>
      <w:lvlText w:val="%4."/>
      <w:lvlJc w:val="left"/>
      <w:pPr>
        <w:ind w:left="3306" w:hanging="360"/>
      </w:pPr>
    </w:lvl>
    <w:lvl w:ilvl="4" w:tplc="08130019" w:tentative="1">
      <w:start w:val="1"/>
      <w:numFmt w:val="lowerLetter"/>
      <w:lvlText w:val="%5."/>
      <w:lvlJc w:val="left"/>
      <w:pPr>
        <w:ind w:left="4026" w:hanging="360"/>
      </w:pPr>
    </w:lvl>
    <w:lvl w:ilvl="5" w:tplc="0813001B" w:tentative="1">
      <w:start w:val="1"/>
      <w:numFmt w:val="lowerRoman"/>
      <w:lvlText w:val="%6."/>
      <w:lvlJc w:val="right"/>
      <w:pPr>
        <w:ind w:left="4746" w:hanging="180"/>
      </w:pPr>
    </w:lvl>
    <w:lvl w:ilvl="6" w:tplc="0813000F" w:tentative="1">
      <w:start w:val="1"/>
      <w:numFmt w:val="decimal"/>
      <w:lvlText w:val="%7."/>
      <w:lvlJc w:val="left"/>
      <w:pPr>
        <w:ind w:left="5466" w:hanging="360"/>
      </w:pPr>
    </w:lvl>
    <w:lvl w:ilvl="7" w:tplc="08130019" w:tentative="1">
      <w:start w:val="1"/>
      <w:numFmt w:val="lowerLetter"/>
      <w:lvlText w:val="%8."/>
      <w:lvlJc w:val="left"/>
      <w:pPr>
        <w:ind w:left="6186" w:hanging="360"/>
      </w:pPr>
    </w:lvl>
    <w:lvl w:ilvl="8" w:tplc="0813001B" w:tentative="1">
      <w:start w:val="1"/>
      <w:numFmt w:val="lowerRoman"/>
      <w:lvlText w:val="%9."/>
      <w:lvlJc w:val="right"/>
      <w:pPr>
        <w:ind w:left="6906" w:hanging="180"/>
      </w:pPr>
    </w:lvl>
  </w:abstractNum>
  <w:abstractNum w:abstractNumId="1" w15:restartNumberingAfterBreak="0">
    <w:nsid w:val="12B8633F"/>
    <w:multiLevelType w:val="multilevel"/>
    <w:tmpl w:val="95508A04"/>
    <w:lvl w:ilvl="0">
      <w:start w:val="1"/>
      <w:numFmt w:val="upperRoman"/>
      <w:lvlText w:val="%1."/>
      <w:lvlJc w:val="left"/>
      <w:pPr>
        <w:tabs>
          <w:tab w:val="num" w:pos="720"/>
        </w:tabs>
        <w:ind w:left="720" w:hanging="720"/>
      </w:pPr>
      <w:rPr>
        <w:rFonts w:hint="default"/>
      </w:rPr>
    </w:lvl>
    <w:lvl w:ilvl="1">
      <w:start w:val="2"/>
      <w:numFmt w:val="decimal"/>
      <w:isLgl/>
      <w:lvlText w:val="%1.%2."/>
      <w:lvlJc w:val="left"/>
      <w:pPr>
        <w:tabs>
          <w:tab w:val="num" w:pos="390"/>
        </w:tabs>
        <w:ind w:left="390" w:hanging="390"/>
      </w:pPr>
      <w:rPr>
        <w:rFonts w:ascii="Verdana" w:hAnsi="Verdana" w:cs="Tahoma" w:hint="default"/>
        <w:color w:val="0000FF"/>
        <w:sz w:val="17"/>
        <w:u w:val="single"/>
      </w:rPr>
    </w:lvl>
    <w:lvl w:ilvl="2">
      <w:start w:val="1"/>
      <w:numFmt w:val="decimal"/>
      <w:isLgl/>
      <w:lvlText w:val="%1.%2.%3."/>
      <w:lvlJc w:val="left"/>
      <w:pPr>
        <w:tabs>
          <w:tab w:val="num" w:pos="720"/>
        </w:tabs>
        <w:ind w:left="720" w:hanging="720"/>
      </w:pPr>
      <w:rPr>
        <w:rFonts w:ascii="Verdana" w:hAnsi="Verdana" w:cs="Tahoma" w:hint="default"/>
        <w:color w:val="0000FF"/>
        <w:sz w:val="17"/>
        <w:u w:val="single"/>
      </w:rPr>
    </w:lvl>
    <w:lvl w:ilvl="3">
      <w:start w:val="1"/>
      <w:numFmt w:val="decimal"/>
      <w:isLgl/>
      <w:lvlText w:val="%1.%2.%3.%4."/>
      <w:lvlJc w:val="left"/>
      <w:pPr>
        <w:tabs>
          <w:tab w:val="num" w:pos="720"/>
        </w:tabs>
        <w:ind w:left="720" w:hanging="720"/>
      </w:pPr>
      <w:rPr>
        <w:rFonts w:ascii="Verdana" w:hAnsi="Verdana" w:cs="Tahoma" w:hint="default"/>
        <w:color w:val="0000FF"/>
        <w:sz w:val="17"/>
        <w:u w:val="single"/>
      </w:rPr>
    </w:lvl>
    <w:lvl w:ilvl="4">
      <w:start w:val="1"/>
      <w:numFmt w:val="decimal"/>
      <w:isLgl/>
      <w:lvlText w:val="%1.%2.%3.%4.%5."/>
      <w:lvlJc w:val="left"/>
      <w:pPr>
        <w:tabs>
          <w:tab w:val="num" w:pos="1080"/>
        </w:tabs>
        <w:ind w:left="1080" w:hanging="1080"/>
      </w:pPr>
      <w:rPr>
        <w:rFonts w:ascii="Verdana" w:hAnsi="Verdana" w:cs="Tahoma" w:hint="default"/>
        <w:color w:val="0000FF"/>
        <w:sz w:val="17"/>
        <w:u w:val="single"/>
      </w:rPr>
    </w:lvl>
    <w:lvl w:ilvl="5">
      <w:start w:val="1"/>
      <w:numFmt w:val="decimal"/>
      <w:isLgl/>
      <w:lvlText w:val="%1.%2.%3.%4.%5.%6."/>
      <w:lvlJc w:val="left"/>
      <w:pPr>
        <w:tabs>
          <w:tab w:val="num" w:pos="1080"/>
        </w:tabs>
        <w:ind w:left="1080" w:hanging="1080"/>
      </w:pPr>
      <w:rPr>
        <w:rFonts w:ascii="Verdana" w:hAnsi="Verdana" w:cs="Tahoma" w:hint="default"/>
        <w:color w:val="0000FF"/>
        <w:sz w:val="17"/>
        <w:u w:val="single"/>
      </w:rPr>
    </w:lvl>
    <w:lvl w:ilvl="6">
      <w:start w:val="1"/>
      <w:numFmt w:val="decimal"/>
      <w:isLgl/>
      <w:lvlText w:val="%1.%2.%3.%4.%5.%6.%7."/>
      <w:lvlJc w:val="left"/>
      <w:pPr>
        <w:tabs>
          <w:tab w:val="num" w:pos="1440"/>
        </w:tabs>
        <w:ind w:left="1440" w:hanging="1440"/>
      </w:pPr>
      <w:rPr>
        <w:rFonts w:ascii="Verdana" w:hAnsi="Verdana" w:cs="Tahoma" w:hint="default"/>
        <w:color w:val="0000FF"/>
        <w:sz w:val="17"/>
        <w:u w:val="single"/>
      </w:rPr>
    </w:lvl>
    <w:lvl w:ilvl="7">
      <w:start w:val="1"/>
      <w:numFmt w:val="decimal"/>
      <w:isLgl/>
      <w:lvlText w:val="%1.%2.%3.%4.%5.%6.%7.%8."/>
      <w:lvlJc w:val="left"/>
      <w:pPr>
        <w:tabs>
          <w:tab w:val="num" w:pos="1440"/>
        </w:tabs>
        <w:ind w:left="1440" w:hanging="1440"/>
      </w:pPr>
      <w:rPr>
        <w:rFonts w:ascii="Verdana" w:hAnsi="Verdana" w:cs="Tahoma" w:hint="default"/>
        <w:color w:val="0000FF"/>
        <w:sz w:val="17"/>
        <w:u w:val="single"/>
      </w:rPr>
    </w:lvl>
    <w:lvl w:ilvl="8">
      <w:start w:val="1"/>
      <w:numFmt w:val="decimal"/>
      <w:isLgl/>
      <w:lvlText w:val="%1.%2.%3.%4.%5.%6.%7.%8.%9."/>
      <w:lvlJc w:val="left"/>
      <w:pPr>
        <w:tabs>
          <w:tab w:val="num" w:pos="1800"/>
        </w:tabs>
        <w:ind w:left="1800" w:hanging="1800"/>
      </w:pPr>
      <w:rPr>
        <w:rFonts w:ascii="Verdana" w:hAnsi="Verdana" w:cs="Tahoma" w:hint="default"/>
        <w:color w:val="0000FF"/>
        <w:sz w:val="17"/>
        <w:u w:val="single"/>
      </w:rPr>
    </w:lvl>
  </w:abstractNum>
  <w:abstractNum w:abstractNumId="2" w15:restartNumberingAfterBreak="0">
    <w:nsid w:val="2EEA7CAE"/>
    <w:multiLevelType w:val="hybridMultilevel"/>
    <w:tmpl w:val="2EC241A0"/>
    <w:lvl w:ilvl="0" w:tplc="E2B49700">
      <w:start w:val="1"/>
      <w:numFmt w:val="bullet"/>
      <w:lvlText w:val="-"/>
      <w:lvlJc w:val="left"/>
      <w:pPr>
        <w:ind w:left="720" w:hanging="360"/>
      </w:pPr>
      <w:rPr>
        <w:rFonts w:ascii="Arial" w:eastAsia="Calibr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B32BB16">
      <w:numFmt w:val="bullet"/>
      <w:lvlText w:val=""/>
      <w:lvlJc w:val="left"/>
      <w:pPr>
        <w:ind w:left="4320" w:hanging="360"/>
      </w:pPr>
      <w:rPr>
        <w:rFonts w:ascii="Wingdings" w:eastAsia="Calibri" w:hAnsi="Wingdings" w:cs="Arial"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64C22D8"/>
    <w:multiLevelType w:val="hybridMultilevel"/>
    <w:tmpl w:val="F0E043C0"/>
    <w:lvl w:ilvl="0" w:tplc="44EC65C8">
      <w:start w:val="2"/>
      <w:numFmt w:val="bullet"/>
      <w:lvlText w:val="-"/>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4D6"/>
    <w:rsid w:val="000039E0"/>
    <w:rsid w:val="00047998"/>
    <w:rsid w:val="001032D7"/>
    <w:rsid w:val="001149A5"/>
    <w:rsid w:val="00131E53"/>
    <w:rsid w:val="001D1EEF"/>
    <w:rsid w:val="00217EB5"/>
    <w:rsid w:val="00252773"/>
    <w:rsid w:val="00266507"/>
    <w:rsid w:val="002869C4"/>
    <w:rsid w:val="002874A3"/>
    <w:rsid w:val="00293358"/>
    <w:rsid w:val="002D3C54"/>
    <w:rsid w:val="0031518A"/>
    <w:rsid w:val="00393B08"/>
    <w:rsid w:val="003A170A"/>
    <w:rsid w:val="00475FCF"/>
    <w:rsid w:val="00482798"/>
    <w:rsid w:val="004B4028"/>
    <w:rsid w:val="004B7E13"/>
    <w:rsid w:val="004E0412"/>
    <w:rsid w:val="00516FDA"/>
    <w:rsid w:val="005D4CA0"/>
    <w:rsid w:val="006205C2"/>
    <w:rsid w:val="006A02FC"/>
    <w:rsid w:val="006B04B0"/>
    <w:rsid w:val="006F56E5"/>
    <w:rsid w:val="00710AEE"/>
    <w:rsid w:val="007144D6"/>
    <w:rsid w:val="00747921"/>
    <w:rsid w:val="007B57B2"/>
    <w:rsid w:val="008339A4"/>
    <w:rsid w:val="008926DB"/>
    <w:rsid w:val="00967217"/>
    <w:rsid w:val="009C4CAF"/>
    <w:rsid w:val="00BD64F5"/>
    <w:rsid w:val="00C20CAA"/>
    <w:rsid w:val="00C81101"/>
    <w:rsid w:val="00E47FB5"/>
    <w:rsid w:val="00E83D3D"/>
    <w:rsid w:val="00E90B9B"/>
    <w:rsid w:val="00F729B3"/>
    <w:rsid w:val="00F8481E"/>
    <w:rsid w:val="00FB0331"/>
    <w:rsid w:val="00FC332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1DFE1BE5-DFE5-4A54-975E-006063C5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Mpio Condensed" w:hAnsi="Mpio Condensed"/>
      <w:lang w:val="nl-NL" w:eastAsia="nl-NL"/>
    </w:rPr>
  </w:style>
  <w:style w:type="paragraph" w:styleId="Kop1">
    <w:name w:val="heading 1"/>
    <w:basedOn w:val="Standaard"/>
    <w:next w:val="Standaard"/>
    <w:link w:val="Kop1Char"/>
    <w:qFormat/>
    <w:rsid w:val="00F729B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4">
    <w:name w:val="heading 4"/>
    <w:basedOn w:val="Standaard"/>
    <w:next w:val="Standaard"/>
    <w:link w:val="Kop4Char"/>
    <w:semiHidden/>
    <w:unhideWhenUsed/>
    <w:qFormat/>
    <w:rsid w:val="00F729B3"/>
    <w:pPr>
      <w:keepNext/>
      <w:outlineLvl w:val="3"/>
    </w:pPr>
    <w:rPr>
      <w:rFonts w:ascii="Arial" w:hAnsi="Arial"/>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rsid w:val="006F56E5"/>
    <w:rPr>
      <w:rFonts w:ascii="Courier New" w:hAnsi="Courier New" w:cs="Courier New"/>
    </w:rPr>
  </w:style>
  <w:style w:type="paragraph" w:styleId="Voetnoottekst">
    <w:name w:val="footnote text"/>
    <w:basedOn w:val="Standaard"/>
    <w:semiHidden/>
    <w:rsid w:val="006F56E5"/>
  </w:style>
  <w:style w:type="character" w:styleId="Voetnootmarkering">
    <w:name w:val="footnote reference"/>
    <w:semiHidden/>
    <w:rsid w:val="006F56E5"/>
    <w:rPr>
      <w:vertAlign w:val="superscript"/>
    </w:rPr>
  </w:style>
  <w:style w:type="paragraph" w:styleId="Koptekst">
    <w:name w:val="header"/>
    <w:basedOn w:val="Standaard"/>
    <w:link w:val="KoptekstChar"/>
    <w:rsid w:val="00217EB5"/>
    <w:pPr>
      <w:tabs>
        <w:tab w:val="center" w:pos="4703"/>
        <w:tab w:val="right" w:pos="9406"/>
      </w:tabs>
    </w:pPr>
  </w:style>
  <w:style w:type="paragraph" w:styleId="Voettekst">
    <w:name w:val="footer"/>
    <w:basedOn w:val="Standaard"/>
    <w:link w:val="VoettekstChar"/>
    <w:uiPriority w:val="99"/>
    <w:rsid w:val="00217EB5"/>
    <w:pPr>
      <w:tabs>
        <w:tab w:val="center" w:pos="4703"/>
        <w:tab w:val="right" w:pos="9406"/>
      </w:tabs>
    </w:pPr>
  </w:style>
  <w:style w:type="character" w:styleId="Paginanummer">
    <w:name w:val="page number"/>
    <w:basedOn w:val="Standaardalinea-lettertype"/>
    <w:rsid w:val="00217EB5"/>
  </w:style>
  <w:style w:type="table" w:styleId="Tabelraster">
    <w:name w:val="Table Grid"/>
    <w:basedOn w:val="Standaardtabel"/>
    <w:rsid w:val="00217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17EB5"/>
    <w:rPr>
      <w:color w:val="0000FF"/>
      <w:u w:val="single"/>
    </w:rPr>
  </w:style>
  <w:style w:type="paragraph" w:styleId="Ballontekst">
    <w:name w:val="Balloon Text"/>
    <w:basedOn w:val="Standaard"/>
    <w:link w:val="BallontekstChar"/>
    <w:rsid w:val="00482798"/>
    <w:rPr>
      <w:rFonts w:ascii="Tahoma" w:hAnsi="Tahoma" w:cs="Tahoma"/>
      <w:sz w:val="16"/>
      <w:szCs w:val="16"/>
    </w:rPr>
  </w:style>
  <w:style w:type="character" w:customStyle="1" w:styleId="BallontekstChar">
    <w:name w:val="Ballontekst Char"/>
    <w:link w:val="Ballontekst"/>
    <w:rsid w:val="00482798"/>
    <w:rPr>
      <w:rFonts w:ascii="Tahoma" w:hAnsi="Tahoma" w:cs="Tahoma"/>
      <w:sz w:val="16"/>
      <w:szCs w:val="16"/>
      <w:lang w:val="nl-NL" w:eastAsia="nl-NL"/>
    </w:rPr>
  </w:style>
  <w:style w:type="paragraph" w:styleId="Lijstalinea">
    <w:name w:val="List Paragraph"/>
    <w:basedOn w:val="Standaard"/>
    <w:uiPriority w:val="34"/>
    <w:qFormat/>
    <w:rsid w:val="00482798"/>
    <w:pPr>
      <w:spacing w:after="160" w:line="259" w:lineRule="auto"/>
      <w:ind w:left="720"/>
      <w:contextualSpacing/>
    </w:pPr>
    <w:rPr>
      <w:rFonts w:ascii="Calibri" w:eastAsia="Calibri" w:hAnsi="Calibri"/>
      <w:sz w:val="22"/>
      <w:szCs w:val="22"/>
      <w:lang w:val="nl-BE" w:eastAsia="en-US"/>
    </w:rPr>
  </w:style>
  <w:style w:type="character" w:customStyle="1" w:styleId="KoptekstChar">
    <w:name w:val="Koptekst Char"/>
    <w:basedOn w:val="Standaardalinea-lettertype"/>
    <w:link w:val="Koptekst"/>
    <w:rsid w:val="009C4CAF"/>
    <w:rPr>
      <w:rFonts w:ascii="Mpio Condensed" w:hAnsi="Mpio Condensed"/>
      <w:lang w:val="nl-NL" w:eastAsia="nl-NL"/>
    </w:rPr>
  </w:style>
  <w:style w:type="character" w:customStyle="1" w:styleId="Kop4Char">
    <w:name w:val="Kop 4 Char"/>
    <w:basedOn w:val="Standaardalinea-lettertype"/>
    <w:link w:val="Kop4"/>
    <w:semiHidden/>
    <w:rsid w:val="00F729B3"/>
    <w:rPr>
      <w:rFonts w:ascii="Arial" w:hAnsi="Arial"/>
      <w:u w:val="single"/>
      <w:lang w:val="nl-NL" w:eastAsia="nl-NL"/>
    </w:rPr>
  </w:style>
  <w:style w:type="paragraph" w:styleId="Plattetekst">
    <w:name w:val="Body Text"/>
    <w:basedOn w:val="Standaard"/>
    <w:link w:val="PlattetekstChar"/>
    <w:unhideWhenUsed/>
    <w:rsid w:val="00F729B3"/>
    <w:rPr>
      <w:rFonts w:ascii="Times New Roman" w:hAnsi="Times New Roman"/>
      <w:b/>
      <w:sz w:val="24"/>
      <w:u w:val="single"/>
    </w:rPr>
  </w:style>
  <w:style w:type="character" w:customStyle="1" w:styleId="PlattetekstChar">
    <w:name w:val="Platte tekst Char"/>
    <w:basedOn w:val="Standaardalinea-lettertype"/>
    <w:link w:val="Plattetekst"/>
    <w:rsid w:val="00F729B3"/>
    <w:rPr>
      <w:b/>
      <w:sz w:val="24"/>
      <w:u w:val="single"/>
      <w:lang w:val="nl-NL" w:eastAsia="nl-NL"/>
    </w:rPr>
  </w:style>
  <w:style w:type="character" w:customStyle="1" w:styleId="Kop1Char">
    <w:name w:val="Kop 1 Char"/>
    <w:basedOn w:val="Standaardalinea-lettertype"/>
    <w:link w:val="Kop1"/>
    <w:rsid w:val="00F729B3"/>
    <w:rPr>
      <w:rFonts w:asciiTheme="majorHAnsi" w:eastAsiaTheme="majorEastAsia" w:hAnsiTheme="majorHAnsi" w:cstheme="majorBidi"/>
      <w:color w:val="2E74B5" w:themeColor="accent1" w:themeShade="BF"/>
      <w:sz w:val="32"/>
      <w:szCs w:val="32"/>
      <w:lang w:val="nl-NL" w:eastAsia="nl-NL"/>
    </w:rPr>
  </w:style>
  <w:style w:type="character" w:customStyle="1" w:styleId="VoettekstChar">
    <w:name w:val="Voettekst Char"/>
    <w:basedOn w:val="Standaardalinea-lettertype"/>
    <w:link w:val="Voettekst"/>
    <w:uiPriority w:val="99"/>
    <w:rsid w:val="00F729B3"/>
    <w:rPr>
      <w:rFonts w:ascii="Mpio Condensed" w:hAnsi="Mpio Condensed"/>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ustitie.belgium.be/nl/themas/veiligheid_en_criminaliteit/seksuele_misdrijv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justitie.belgium.be/nl/themas/veiligheid_en_criminaliteit/seksuele_misdrijv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9AB34E81B874699949610A30115E7" ma:contentTypeVersion="0" ma:contentTypeDescription="Een nieuw document maken." ma:contentTypeScope="" ma:versionID="f9bcbe1459af06b16359aa54455fa704">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198BF-206C-49AE-A4C0-8B9D8A2C7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E2B4549-8027-407D-8C8A-1185F7F51CF1}">
  <ds:schemaRefs>
    <ds:schemaRef ds:uri="http://schemas.microsoft.com/sharepoint/v3/contenttype/forms"/>
  </ds:schemaRefs>
</ds:datastoreItem>
</file>

<file path=customXml/itemProps3.xml><?xml version="1.0" encoding="utf-8"?>
<ds:datastoreItem xmlns:ds="http://schemas.openxmlformats.org/officeDocument/2006/customXml" ds:itemID="{F7E5DD6E-6C5D-4F60-89E0-D0B313BCFB2B}">
  <ds:schemaRefs>
    <ds:schemaRef ds:uri="http://purl.org/dc/terms/"/>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1163</Words>
  <Characters>7184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Deel 1 Agressiebeleid</vt:lpstr>
    </vt:vector>
  </TitlesOfParts>
  <Company>MPI Oosterlo</Company>
  <LinksUpToDate>false</LinksUpToDate>
  <CharactersWithSpaces>8331</CharactersWithSpaces>
  <SharedDoc>false</SharedDoc>
  <HLinks>
    <vt:vector size="84" baseType="variant">
      <vt:variant>
        <vt:i4>524365</vt:i4>
      </vt:variant>
      <vt:variant>
        <vt:i4>39</vt:i4>
      </vt:variant>
      <vt:variant>
        <vt:i4>0</vt:i4>
      </vt:variant>
      <vt:variant>
        <vt:i4>5</vt:i4>
      </vt:variant>
      <vt:variant>
        <vt:lpwstr>http://mpi-dnn/DotNetNuke/LinkClick.aspx?link=KHB%2fDienstverlening%2fProcedures%2fRelatievorming+en+seksualiteit5+Protocol.doc&amp;tabid=210&amp;mid=505</vt:lpwstr>
      </vt:variant>
      <vt:variant>
        <vt:lpwstr/>
      </vt:variant>
      <vt:variant>
        <vt:i4>2424881</vt:i4>
      </vt:variant>
      <vt:variant>
        <vt:i4>36</vt:i4>
      </vt:variant>
      <vt:variant>
        <vt:i4>0</vt:i4>
      </vt:variant>
      <vt:variant>
        <vt:i4>5</vt:i4>
      </vt:variant>
      <vt:variant>
        <vt:lpwstr>http://mpi-dnn/DotNetNuke/LinkClick.aspx?link=KHB%2fDienstverlening%2fProcedures%2fRelatievorming+en+seksualiteit+4+Procedure.doc&amp;tabid=210&amp;mid=505</vt:lpwstr>
      </vt:variant>
      <vt:variant>
        <vt:lpwstr/>
      </vt:variant>
      <vt:variant>
        <vt:i4>4587551</vt:i4>
      </vt:variant>
      <vt:variant>
        <vt:i4>33</vt:i4>
      </vt:variant>
      <vt:variant>
        <vt:i4>0</vt:i4>
      </vt:variant>
      <vt:variant>
        <vt:i4>5</vt:i4>
      </vt:variant>
      <vt:variant>
        <vt:lpwstr>http://mpi-dnn/DotNetNuke/LinkClick.aspx?link=KHB%2fDienstverlening%2fProcedures%2f03+Herkennen+en+omgaan+met+vermoeden+van+misbruik+en+geweld.doc&amp;tabid=210&amp;mid=505</vt:lpwstr>
      </vt:variant>
      <vt:variant>
        <vt:lpwstr/>
      </vt:variant>
      <vt:variant>
        <vt:i4>6488111</vt:i4>
      </vt:variant>
      <vt:variant>
        <vt:i4>30</vt:i4>
      </vt:variant>
      <vt:variant>
        <vt:i4>0</vt:i4>
      </vt:variant>
      <vt:variant>
        <vt:i4>5</vt:i4>
      </vt:variant>
      <vt:variant>
        <vt:lpwstr>http://mpi-dnn/DotNetNuke/LinkClick.aspx?link=KHB%2fDienstverlening%2fProcedures%2f04+Schema+dialoogmodel.doc&amp;tabid=210&amp;mid=505</vt:lpwstr>
      </vt:variant>
      <vt:variant>
        <vt:lpwstr/>
      </vt:variant>
      <vt:variant>
        <vt:i4>4587609</vt:i4>
      </vt:variant>
      <vt:variant>
        <vt:i4>27</vt:i4>
      </vt:variant>
      <vt:variant>
        <vt:i4>0</vt:i4>
      </vt:variant>
      <vt:variant>
        <vt:i4>5</vt:i4>
      </vt:variant>
      <vt:variant>
        <vt:lpwstr>http://mpi-dnn/DotNetNuke/LinkClick.aspx?link=KHB%2fDienstverlening%2fProcedures%2fRelatievorming+en+seksualiteit+3+Preventiebeleid.doc&amp;tabid=210&amp;mid=505</vt:lpwstr>
      </vt:variant>
      <vt:variant>
        <vt:lpwstr/>
      </vt:variant>
      <vt:variant>
        <vt:i4>6815842</vt:i4>
      </vt:variant>
      <vt:variant>
        <vt:i4>24</vt:i4>
      </vt:variant>
      <vt:variant>
        <vt:i4>0</vt:i4>
      </vt:variant>
      <vt:variant>
        <vt:i4>5</vt:i4>
      </vt:variant>
      <vt:variant>
        <vt:lpwstr>http://mpi-dnn/DotNetNuke/LinkClick.aspx?link=KHB%2fDienstverlening%2fProcedures%2f05+Visietekst+Algemeen+seksueel+gezondheidsbeleid.doc&amp;tabid=210&amp;mid=505</vt:lpwstr>
      </vt:variant>
      <vt:variant>
        <vt:lpwstr/>
      </vt:variant>
      <vt:variant>
        <vt:i4>7274541</vt:i4>
      </vt:variant>
      <vt:variant>
        <vt:i4>21</vt:i4>
      </vt:variant>
      <vt:variant>
        <vt:i4>0</vt:i4>
      </vt:variant>
      <vt:variant>
        <vt:i4>5</vt:i4>
      </vt:variant>
      <vt:variant>
        <vt:lpwstr>http://mpi-dnn/DotNetNuke/LinkClick.aspx?link=KHB%2fDienstverlening%2fProcedures%2fRelatievorming+en+seksualiteit+1+Uitgangspunt.doc&amp;tabid=210&amp;mid=505</vt:lpwstr>
      </vt:variant>
      <vt:variant>
        <vt:lpwstr/>
      </vt:variant>
      <vt:variant>
        <vt:i4>6357114</vt:i4>
      </vt:variant>
      <vt:variant>
        <vt:i4>18</vt:i4>
      </vt:variant>
      <vt:variant>
        <vt:i4>0</vt:i4>
      </vt:variant>
      <vt:variant>
        <vt:i4>5</vt:i4>
      </vt:variant>
      <vt:variant>
        <vt:lpwstr>../../../../../../../../DavWWWRoot/organisatie/kwaliteit/kwaliteit/intranetversie 09/02 Dienstverlening/02 Procedure/04 Preventie van misbruik en geweld/Relatievorming en seksualiteit/Agressiebeleid/Agressiebeleid procedure Richtlijnen voor het gebruik van bedgordels.doc</vt:lpwstr>
      </vt:variant>
      <vt:variant>
        <vt:lpwstr/>
      </vt:variant>
      <vt:variant>
        <vt:i4>196685</vt:i4>
      </vt:variant>
      <vt:variant>
        <vt:i4>15</vt:i4>
      </vt:variant>
      <vt:variant>
        <vt:i4>0</vt:i4>
      </vt:variant>
      <vt:variant>
        <vt:i4>5</vt:i4>
      </vt:variant>
      <vt:variant>
        <vt:lpwstr>http://mpi-dnn/DotNetNuke/LinkClick.aspx?link=KHB%2fDienstverlening%2fProcedures%2fAgressiebeleid+4++Beveiligingsruimte.doc&amp;tabid=210&amp;mid=505</vt:lpwstr>
      </vt:variant>
      <vt:variant>
        <vt:lpwstr/>
      </vt:variant>
      <vt:variant>
        <vt:i4>6684712</vt:i4>
      </vt:variant>
      <vt:variant>
        <vt:i4>12</vt:i4>
      </vt:variant>
      <vt:variant>
        <vt:i4>0</vt:i4>
      </vt:variant>
      <vt:variant>
        <vt:i4>5</vt:i4>
      </vt:variant>
      <vt:variant>
        <vt:lpwstr>http://mpi-dnn/DotNetNuke/LinkClick.aspx?link=KHB%2fDienstverlening%2fProcedures%2fAgressiebeleid+4+Procedures+Opvolgen+van+probleemsituaties.doc&amp;tabid=210&amp;mid=505</vt:lpwstr>
      </vt:variant>
      <vt:variant>
        <vt:lpwstr/>
      </vt:variant>
      <vt:variant>
        <vt:i4>4391004</vt:i4>
      </vt:variant>
      <vt:variant>
        <vt:i4>9</vt:i4>
      </vt:variant>
      <vt:variant>
        <vt:i4>0</vt:i4>
      </vt:variant>
      <vt:variant>
        <vt:i4>5</vt:i4>
      </vt:variant>
      <vt:variant>
        <vt:lpwstr>http://mpi-dnn/DotNetNuke/LinkClick.aspx?link=KHB%2fDienstverlening%2fProcedures%2fAgressiebeleid+4+Procedures+Toelichting.doc&amp;tabid=210&amp;mid=505</vt:lpwstr>
      </vt:variant>
      <vt:variant>
        <vt:lpwstr/>
      </vt:variant>
      <vt:variant>
        <vt:i4>6619250</vt:i4>
      </vt:variant>
      <vt:variant>
        <vt:i4>6</vt:i4>
      </vt:variant>
      <vt:variant>
        <vt:i4>0</vt:i4>
      </vt:variant>
      <vt:variant>
        <vt:i4>5</vt:i4>
      </vt:variant>
      <vt:variant>
        <vt:lpwstr>http://mpi-dnn/DotNetNuke/LinkClick.aspx?link=KHB%2fDienstverlening%2fProcedures%2fAgressiebeleid+3+Methode+Crisisontwikkelingsmodel.doc&amp;tabid=210&amp;mid=505</vt:lpwstr>
      </vt:variant>
      <vt:variant>
        <vt:lpwstr/>
      </vt:variant>
      <vt:variant>
        <vt:i4>6291505</vt:i4>
      </vt:variant>
      <vt:variant>
        <vt:i4>3</vt:i4>
      </vt:variant>
      <vt:variant>
        <vt:i4>0</vt:i4>
      </vt:variant>
      <vt:variant>
        <vt:i4>5</vt:i4>
      </vt:variant>
      <vt:variant>
        <vt:lpwstr>http://mpi-dnn/DotNetNuke/LinkClick.aspx?link=KHB%2fDienstverlening%2fProcedures%2f11+Visietekst+Agressie.doc&amp;tabid=210&amp;mid=505</vt:lpwstr>
      </vt:variant>
      <vt:variant>
        <vt:lpwstr/>
      </vt:variant>
      <vt:variant>
        <vt:i4>3866747</vt:i4>
      </vt:variant>
      <vt:variant>
        <vt:i4>0</vt:i4>
      </vt:variant>
      <vt:variant>
        <vt:i4>0</vt:i4>
      </vt:variant>
      <vt:variant>
        <vt:i4>5</vt:i4>
      </vt:variant>
      <vt:variant>
        <vt:lpwstr>http://mpi-dnn/DotNetNuke/LinkClick.aspx?link=KHB%2fDienstverlening%2fProcedures%2fAgressiebeleid+1+Uitgangspunt.doc&amp;tabid=210&amp;mid=505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1 Agressiebeleid</dc:title>
  <dc:subject/>
  <dc:creator>margap</dc:creator>
  <cp:keywords/>
  <cp:lastModifiedBy>Dana Keustermans</cp:lastModifiedBy>
  <cp:revision>12</cp:revision>
  <dcterms:created xsi:type="dcterms:W3CDTF">2016-09-27T08:55:00Z</dcterms:created>
  <dcterms:modified xsi:type="dcterms:W3CDTF">2025-05-06T07:11:00Z</dcterms:modified>
</cp:coreProperties>
</file>