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1278"/>
        <w:gridCol w:w="1278"/>
        <w:gridCol w:w="2100"/>
      </w:tblGrid>
      <w:tr w:rsidR="00033E75" w:rsidTr="007A66EB">
        <w:tc>
          <w:tcPr>
            <w:tcW w:w="976" w:type="dxa"/>
            <w:tcBorders>
              <w:top w:val="single" w:sz="4" w:space="0" w:color="auto"/>
              <w:left w:val="single" w:sz="4" w:space="0" w:color="auto"/>
              <w:bottom w:val="single" w:sz="4" w:space="0" w:color="auto"/>
              <w:right w:val="single" w:sz="4" w:space="0" w:color="auto"/>
            </w:tcBorders>
            <w:shd w:val="clear" w:color="auto" w:fill="E6E6E6"/>
            <w:hideMark/>
          </w:tcPr>
          <w:p w:rsidR="00033E75" w:rsidRPr="007222F5" w:rsidRDefault="00033E75" w:rsidP="007A66EB">
            <w:pPr>
              <w:rPr>
                <w:rFonts w:ascii="Calibri" w:hAnsi="Calibri" w:cs="Arial"/>
                <w:b/>
                <w:sz w:val="22"/>
                <w:szCs w:val="22"/>
              </w:rPr>
            </w:pPr>
            <w:r w:rsidRPr="007222F5">
              <w:rPr>
                <w:rFonts w:ascii="Calibri" w:hAnsi="Calibri" w:cs="Arial"/>
                <w:b/>
                <w:sz w:val="22"/>
                <w:szCs w:val="22"/>
              </w:rPr>
              <w:t>Versie</w:t>
            </w:r>
          </w:p>
        </w:tc>
        <w:tc>
          <w:tcPr>
            <w:tcW w:w="2556" w:type="dxa"/>
            <w:gridSpan w:val="2"/>
            <w:tcBorders>
              <w:top w:val="single" w:sz="4" w:space="0" w:color="auto"/>
              <w:left w:val="single" w:sz="4" w:space="0" w:color="auto"/>
              <w:bottom w:val="single" w:sz="4" w:space="0" w:color="auto"/>
              <w:right w:val="single" w:sz="4" w:space="0" w:color="auto"/>
            </w:tcBorders>
            <w:shd w:val="clear" w:color="auto" w:fill="E6E6E6"/>
            <w:hideMark/>
          </w:tcPr>
          <w:p w:rsidR="00033E75" w:rsidRPr="007222F5" w:rsidRDefault="00033E75" w:rsidP="007A66EB">
            <w:pPr>
              <w:rPr>
                <w:rFonts w:ascii="Calibri" w:hAnsi="Calibri" w:cs="Arial"/>
                <w:b/>
                <w:sz w:val="22"/>
                <w:szCs w:val="22"/>
              </w:rPr>
            </w:pPr>
            <w:r w:rsidRPr="007222F5">
              <w:rPr>
                <w:rFonts w:ascii="Calibri" w:hAnsi="Calibri" w:cs="Arial"/>
                <w:b/>
                <w:sz w:val="22"/>
                <w:szCs w:val="22"/>
              </w:rPr>
              <w:t>Geldig van tot</w:t>
            </w:r>
          </w:p>
        </w:tc>
        <w:tc>
          <w:tcPr>
            <w:tcW w:w="2100" w:type="dxa"/>
            <w:tcBorders>
              <w:top w:val="single" w:sz="4" w:space="0" w:color="auto"/>
              <w:left w:val="single" w:sz="4" w:space="0" w:color="auto"/>
              <w:bottom w:val="single" w:sz="4" w:space="0" w:color="auto"/>
              <w:right w:val="single" w:sz="4" w:space="0" w:color="auto"/>
            </w:tcBorders>
            <w:shd w:val="clear" w:color="auto" w:fill="E6E6E6"/>
            <w:hideMark/>
          </w:tcPr>
          <w:p w:rsidR="00033E75" w:rsidRPr="007222F5" w:rsidRDefault="00033E75" w:rsidP="007A66EB">
            <w:pPr>
              <w:rPr>
                <w:rFonts w:ascii="Calibri" w:hAnsi="Calibri" w:cs="Arial"/>
                <w:b/>
                <w:sz w:val="22"/>
                <w:szCs w:val="22"/>
              </w:rPr>
            </w:pPr>
            <w:r w:rsidRPr="007222F5">
              <w:rPr>
                <w:rFonts w:ascii="Calibri" w:hAnsi="Calibri" w:cs="Arial"/>
                <w:b/>
                <w:sz w:val="22"/>
                <w:szCs w:val="22"/>
              </w:rPr>
              <w:t>Evaluatie</w:t>
            </w:r>
          </w:p>
        </w:tc>
      </w:tr>
      <w:tr w:rsidR="00033E75" w:rsidTr="007A66EB">
        <w:tc>
          <w:tcPr>
            <w:tcW w:w="976" w:type="dxa"/>
            <w:tcBorders>
              <w:top w:val="single" w:sz="4" w:space="0" w:color="auto"/>
              <w:left w:val="single" w:sz="4" w:space="0" w:color="auto"/>
              <w:bottom w:val="single" w:sz="4" w:space="0" w:color="auto"/>
              <w:right w:val="single" w:sz="4" w:space="0" w:color="auto"/>
            </w:tcBorders>
          </w:tcPr>
          <w:p w:rsidR="00033E75" w:rsidRPr="007222F5" w:rsidRDefault="00033E75" w:rsidP="007A66EB">
            <w:pPr>
              <w:rPr>
                <w:rFonts w:ascii="Calibri" w:hAnsi="Calibri" w:cs="Arial"/>
                <w:sz w:val="22"/>
                <w:szCs w:val="22"/>
              </w:rPr>
            </w:pPr>
            <w:r>
              <w:rPr>
                <w:rFonts w:ascii="Calibri" w:hAnsi="Calibri" w:cs="Arial"/>
                <w:sz w:val="22"/>
                <w:szCs w:val="22"/>
              </w:rPr>
              <w:t>2016</w:t>
            </w:r>
            <w:r w:rsidRPr="007222F5">
              <w:rPr>
                <w:rFonts w:ascii="Calibri" w:hAnsi="Calibri" w:cs="Arial"/>
                <w:sz w:val="22"/>
                <w:szCs w:val="22"/>
              </w:rPr>
              <w:t>/1</w:t>
            </w:r>
          </w:p>
        </w:tc>
        <w:tc>
          <w:tcPr>
            <w:tcW w:w="1278" w:type="dxa"/>
            <w:tcBorders>
              <w:top w:val="single" w:sz="4" w:space="0" w:color="auto"/>
              <w:left w:val="single" w:sz="4" w:space="0" w:color="auto"/>
              <w:bottom w:val="single" w:sz="4" w:space="0" w:color="auto"/>
              <w:right w:val="single" w:sz="4" w:space="0" w:color="auto"/>
            </w:tcBorders>
          </w:tcPr>
          <w:p w:rsidR="00033E75" w:rsidRPr="007222F5" w:rsidRDefault="00033E75" w:rsidP="007A66EB">
            <w:pPr>
              <w:rPr>
                <w:rFonts w:ascii="Calibri" w:hAnsi="Calibri" w:cs="Arial"/>
                <w:sz w:val="22"/>
                <w:szCs w:val="22"/>
              </w:rPr>
            </w:pPr>
            <w:r>
              <w:rPr>
                <w:rFonts w:ascii="Calibri" w:hAnsi="Calibri" w:cs="Arial"/>
                <w:sz w:val="22"/>
                <w:szCs w:val="22"/>
              </w:rPr>
              <w:t>1</w:t>
            </w:r>
            <w:r w:rsidRPr="007222F5">
              <w:rPr>
                <w:rFonts w:ascii="Calibri" w:hAnsi="Calibri" w:cs="Arial"/>
                <w:sz w:val="22"/>
                <w:szCs w:val="22"/>
              </w:rPr>
              <w:t>/</w:t>
            </w:r>
            <w:r>
              <w:rPr>
                <w:rFonts w:ascii="Calibri" w:hAnsi="Calibri" w:cs="Arial"/>
                <w:sz w:val="22"/>
                <w:szCs w:val="22"/>
              </w:rPr>
              <w:t>10</w:t>
            </w:r>
            <w:r w:rsidRPr="007222F5">
              <w:rPr>
                <w:rFonts w:ascii="Calibri" w:hAnsi="Calibri" w:cs="Arial"/>
                <w:sz w:val="22"/>
                <w:szCs w:val="22"/>
              </w:rPr>
              <w:t>/201</w:t>
            </w:r>
            <w:r>
              <w:rPr>
                <w:rFonts w:ascii="Calibri" w:hAnsi="Calibri" w:cs="Arial"/>
                <w:sz w:val="22"/>
                <w:szCs w:val="22"/>
              </w:rPr>
              <w:t>6</w:t>
            </w:r>
          </w:p>
        </w:tc>
        <w:tc>
          <w:tcPr>
            <w:tcW w:w="1278" w:type="dxa"/>
            <w:tcBorders>
              <w:top w:val="single" w:sz="4" w:space="0" w:color="auto"/>
              <w:left w:val="single" w:sz="4" w:space="0" w:color="auto"/>
              <w:bottom w:val="single" w:sz="4" w:space="0" w:color="auto"/>
              <w:right w:val="single" w:sz="4" w:space="0" w:color="auto"/>
            </w:tcBorders>
          </w:tcPr>
          <w:p w:rsidR="00033E75" w:rsidRPr="007222F5" w:rsidRDefault="00033E75" w:rsidP="007A66EB">
            <w:pPr>
              <w:rPr>
                <w:rFonts w:ascii="Calibri" w:hAnsi="Calibri" w:cs="Arial"/>
                <w:sz w:val="22"/>
                <w:szCs w:val="22"/>
              </w:rPr>
            </w:pPr>
            <w:r w:rsidRPr="007222F5">
              <w:rPr>
                <w:rFonts w:ascii="Calibri" w:hAnsi="Calibri" w:cs="Arial"/>
                <w:sz w:val="22"/>
                <w:szCs w:val="22"/>
              </w:rPr>
              <w:t>1</w:t>
            </w:r>
            <w:r>
              <w:rPr>
                <w:rFonts w:ascii="Calibri" w:hAnsi="Calibri" w:cs="Arial"/>
                <w:sz w:val="22"/>
                <w:szCs w:val="22"/>
              </w:rPr>
              <w:t>/10</w:t>
            </w:r>
            <w:r w:rsidRPr="007222F5">
              <w:rPr>
                <w:rFonts w:ascii="Calibri" w:hAnsi="Calibri" w:cs="Arial"/>
                <w:sz w:val="22"/>
                <w:szCs w:val="22"/>
              </w:rPr>
              <w:t>/201</w:t>
            </w:r>
            <w:r>
              <w:rPr>
                <w:rFonts w:ascii="Calibri" w:hAnsi="Calibri" w:cs="Arial"/>
                <w:sz w:val="22"/>
                <w:szCs w:val="22"/>
              </w:rPr>
              <w:t>8</w:t>
            </w:r>
          </w:p>
        </w:tc>
        <w:tc>
          <w:tcPr>
            <w:tcW w:w="2100" w:type="dxa"/>
            <w:tcBorders>
              <w:top w:val="single" w:sz="4" w:space="0" w:color="auto"/>
              <w:left w:val="single" w:sz="4" w:space="0" w:color="auto"/>
              <w:bottom w:val="single" w:sz="4" w:space="0" w:color="auto"/>
              <w:right w:val="single" w:sz="4" w:space="0" w:color="auto"/>
            </w:tcBorders>
          </w:tcPr>
          <w:p w:rsidR="00033E75" w:rsidRPr="007222F5" w:rsidRDefault="00033E75" w:rsidP="007A66EB">
            <w:pPr>
              <w:rPr>
                <w:rFonts w:ascii="Calibri" w:hAnsi="Calibri" w:cs="Arial"/>
                <w:sz w:val="22"/>
                <w:szCs w:val="22"/>
              </w:rPr>
            </w:pPr>
            <w:r>
              <w:rPr>
                <w:rFonts w:ascii="Calibri" w:hAnsi="Calibri" w:cs="Arial"/>
                <w:sz w:val="22"/>
                <w:szCs w:val="22"/>
              </w:rPr>
              <w:t>11/09/2017</w:t>
            </w:r>
          </w:p>
        </w:tc>
      </w:tr>
      <w:tr w:rsidR="00033E75" w:rsidTr="007A66EB">
        <w:tc>
          <w:tcPr>
            <w:tcW w:w="976" w:type="dxa"/>
            <w:tcBorders>
              <w:top w:val="single" w:sz="4" w:space="0" w:color="auto"/>
              <w:left w:val="single" w:sz="4" w:space="0" w:color="auto"/>
              <w:bottom w:val="single" w:sz="4" w:space="0" w:color="auto"/>
              <w:right w:val="single" w:sz="4" w:space="0" w:color="auto"/>
            </w:tcBorders>
          </w:tcPr>
          <w:p w:rsidR="00033E75" w:rsidRDefault="00033E75" w:rsidP="007A66EB">
            <w:pPr>
              <w:rPr>
                <w:rFonts w:ascii="Calibri" w:hAnsi="Calibri" w:cs="Arial"/>
                <w:sz w:val="22"/>
                <w:szCs w:val="22"/>
              </w:rPr>
            </w:pPr>
            <w:r>
              <w:rPr>
                <w:rFonts w:ascii="Calibri" w:hAnsi="Calibri" w:cs="Arial"/>
                <w:sz w:val="22"/>
                <w:szCs w:val="22"/>
              </w:rPr>
              <w:t>2022/1</w:t>
            </w:r>
          </w:p>
        </w:tc>
        <w:tc>
          <w:tcPr>
            <w:tcW w:w="1278" w:type="dxa"/>
            <w:tcBorders>
              <w:top w:val="single" w:sz="4" w:space="0" w:color="auto"/>
              <w:left w:val="single" w:sz="4" w:space="0" w:color="auto"/>
              <w:bottom w:val="single" w:sz="4" w:space="0" w:color="auto"/>
              <w:right w:val="single" w:sz="4" w:space="0" w:color="auto"/>
            </w:tcBorders>
          </w:tcPr>
          <w:p w:rsidR="00033E75" w:rsidRDefault="00033E75" w:rsidP="007A66EB">
            <w:pPr>
              <w:rPr>
                <w:rFonts w:ascii="Calibri" w:hAnsi="Calibri" w:cs="Arial"/>
                <w:sz w:val="22"/>
                <w:szCs w:val="22"/>
              </w:rPr>
            </w:pPr>
            <w:r>
              <w:rPr>
                <w:rFonts w:ascii="Calibri" w:hAnsi="Calibri" w:cs="Arial"/>
                <w:sz w:val="22"/>
                <w:szCs w:val="22"/>
              </w:rPr>
              <w:t>19/07/2022</w:t>
            </w:r>
          </w:p>
        </w:tc>
        <w:tc>
          <w:tcPr>
            <w:tcW w:w="1278" w:type="dxa"/>
            <w:tcBorders>
              <w:top w:val="single" w:sz="4" w:space="0" w:color="auto"/>
              <w:left w:val="single" w:sz="4" w:space="0" w:color="auto"/>
              <w:bottom w:val="single" w:sz="4" w:space="0" w:color="auto"/>
              <w:right w:val="single" w:sz="4" w:space="0" w:color="auto"/>
            </w:tcBorders>
          </w:tcPr>
          <w:p w:rsidR="00033E75" w:rsidRDefault="00033E75" w:rsidP="007A66EB">
            <w:pPr>
              <w:rPr>
                <w:rFonts w:ascii="Calibri" w:hAnsi="Calibri" w:cs="Arial"/>
                <w:sz w:val="22"/>
                <w:szCs w:val="22"/>
              </w:rPr>
            </w:pPr>
            <w:r>
              <w:rPr>
                <w:rFonts w:ascii="Calibri" w:hAnsi="Calibri" w:cs="Arial"/>
                <w:sz w:val="22"/>
                <w:szCs w:val="22"/>
              </w:rPr>
              <w:t>19/07/2024</w:t>
            </w:r>
          </w:p>
        </w:tc>
        <w:tc>
          <w:tcPr>
            <w:tcW w:w="2100" w:type="dxa"/>
            <w:tcBorders>
              <w:top w:val="single" w:sz="4" w:space="0" w:color="auto"/>
              <w:left w:val="single" w:sz="4" w:space="0" w:color="auto"/>
              <w:bottom w:val="single" w:sz="4" w:space="0" w:color="auto"/>
              <w:right w:val="single" w:sz="4" w:space="0" w:color="auto"/>
            </w:tcBorders>
          </w:tcPr>
          <w:p w:rsidR="00033E75" w:rsidRDefault="00033E75" w:rsidP="007A66EB">
            <w:pPr>
              <w:rPr>
                <w:rFonts w:ascii="Calibri" w:hAnsi="Calibri" w:cs="Arial"/>
                <w:sz w:val="22"/>
                <w:szCs w:val="22"/>
              </w:rPr>
            </w:pPr>
            <w:r>
              <w:rPr>
                <w:rFonts w:ascii="Calibri" w:hAnsi="Calibri" w:cs="Arial"/>
                <w:sz w:val="22"/>
                <w:szCs w:val="22"/>
              </w:rPr>
              <w:t>19/07/2024</w:t>
            </w:r>
          </w:p>
        </w:tc>
      </w:tr>
      <w:tr w:rsidR="00033E75" w:rsidTr="007A66EB">
        <w:tc>
          <w:tcPr>
            <w:tcW w:w="976" w:type="dxa"/>
            <w:tcBorders>
              <w:top w:val="single" w:sz="4" w:space="0" w:color="auto"/>
              <w:left w:val="single" w:sz="4" w:space="0" w:color="auto"/>
              <w:bottom w:val="single" w:sz="4" w:space="0" w:color="auto"/>
              <w:right w:val="single" w:sz="4" w:space="0" w:color="auto"/>
            </w:tcBorders>
          </w:tcPr>
          <w:p w:rsidR="00033E75" w:rsidRDefault="00033E75" w:rsidP="007A66EB">
            <w:pPr>
              <w:rPr>
                <w:rFonts w:ascii="Calibri" w:hAnsi="Calibri" w:cs="Arial"/>
                <w:sz w:val="22"/>
                <w:szCs w:val="22"/>
              </w:rPr>
            </w:pPr>
            <w:r>
              <w:rPr>
                <w:rFonts w:ascii="Calibri" w:hAnsi="Calibri" w:cs="Arial"/>
                <w:sz w:val="22"/>
                <w:szCs w:val="22"/>
              </w:rPr>
              <w:t>2025/1</w:t>
            </w:r>
          </w:p>
        </w:tc>
        <w:tc>
          <w:tcPr>
            <w:tcW w:w="1278" w:type="dxa"/>
            <w:tcBorders>
              <w:top w:val="single" w:sz="4" w:space="0" w:color="auto"/>
              <w:left w:val="single" w:sz="4" w:space="0" w:color="auto"/>
              <w:bottom w:val="single" w:sz="4" w:space="0" w:color="auto"/>
              <w:right w:val="single" w:sz="4" w:space="0" w:color="auto"/>
            </w:tcBorders>
          </w:tcPr>
          <w:p w:rsidR="00033E75" w:rsidRPr="00381B49" w:rsidRDefault="00033E75" w:rsidP="007A66EB">
            <w:pPr>
              <w:rPr>
                <w:rFonts w:ascii="Calibri" w:hAnsi="Calibri" w:cs="Arial"/>
                <w:sz w:val="22"/>
                <w:szCs w:val="22"/>
              </w:rPr>
            </w:pPr>
            <w:r w:rsidRPr="00381B49">
              <w:rPr>
                <w:rFonts w:ascii="Calibri" w:hAnsi="Calibri" w:cs="Arial"/>
                <w:sz w:val="22"/>
                <w:szCs w:val="22"/>
              </w:rPr>
              <w:t>26/03/2025</w:t>
            </w:r>
          </w:p>
        </w:tc>
        <w:tc>
          <w:tcPr>
            <w:tcW w:w="1278" w:type="dxa"/>
            <w:tcBorders>
              <w:top w:val="single" w:sz="4" w:space="0" w:color="auto"/>
              <w:left w:val="single" w:sz="4" w:space="0" w:color="auto"/>
              <w:bottom w:val="single" w:sz="4" w:space="0" w:color="auto"/>
              <w:right w:val="single" w:sz="4" w:space="0" w:color="auto"/>
            </w:tcBorders>
          </w:tcPr>
          <w:p w:rsidR="00033E75" w:rsidRPr="00381B49" w:rsidRDefault="00033E75" w:rsidP="007A66EB">
            <w:pPr>
              <w:rPr>
                <w:rFonts w:ascii="Calibri" w:hAnsi="Calibri" w:cs="Arial"/>
                <w:sz w:val="22"/>
                <w:szCs w:val="22"/>
              </w:rPr>
            </w:pPr>
            <w:r w:rsidRPr="00381B49">
              <w:rPr>
                <w:rFonts w:ascii="Calibri" w:hAnsi="Calibri" w:cs="Arial"/>
                <w:sz w:val="22"/>
                <w:szCs w:val="22"/>
              </w:rPr>
              <w:t>26/03/2027</w:t>
            </w:r>
          </w:p>
        </w:tc>
        <w:tc>
          <w:tcPr>
            <w:tcW w:w="2100" w:type="dxa"/>
            <w:tcBorders>
              <w:top w:val="single" w:sz="4" w:space="0" w:color="auto"/>
              <w:left w:val="single" w:sz="4" w:space="0" w:color="auto"/>
              <w:bottom w:val="single" w:sz="4" w:space="0" w:color="auto"/>
              <w:right w:val="single" w:sz="4" w:space="0" w:color="auto"/>
            </w:tcBorders>
          </w:tcPr>
          <w:p w:rsidR="00033E75" w:rsidRPr="00381B49" w:rsidRDefault="00033E75" w:rsidP="007A66EB">
            <w:pPr>
              <w:rPr>
                <w:rFonts w:ascii="Calibri" w:hAnsi="Calibri" w:cs="Arial"/>
                <w:sz w:val="22"/>
                <w:szCs w:val="22"/>
              </w:rPr>
            </w:pPr>
            <w:r w:rsidRPr="00381B49">
              <w:rPr>
                <w:rFonts w:ascii="Calibri" w:hAnsi="Calibri" w:cs="Arial"/>
                <w:sz w:val="22"/>
                <w:szCs w:val="22"/>
              </w:rPr>
              <w:t>10/01/2027</w:t>
            </w:r>
          </w:p>
        </w:tc>
      </w:tr>
    </w:tbl>
    <w:p w:rsidR="004B59FE" w:rsidRDefault="004B59FE" w:rsidP="00580C15">
      <w:pPr>
        <w:rPr>
          <w:rFonts w:ascii="Arial" w:hAnsi="Arial" w:cs="Arial"/>
        </w:rPr>
      </w:pPr>
    </w:p>
    <w:p w:rsidR="00033E75" w:rsidRPr="006D2183" w:rsidRDefault="00C02F6C" w:rsidP="00033E75">
      <w:pPr>
        <w:numPr>
          <w:ilvl w:val="0"/>
          <w:numId w:val="1"/>
        </w:numPr>
        <w:tabs>
          <w:tab w:val="num" w:pos="284"/>
        </w:tabs>
        <w:rPr>
          <w:rFonts w:ascii="Calibri" w:hAnsi="Calibri" w:cs="Arial"/>
          <w:b/>
          <w:sz w:val="24"/>
          <w:szCs w:val="24"/>
        </w:rPr>
      </w:pPr>
      <w:r>
        <w:rPr>
          <w:rFonts w:ascii="Calibri" w:hAnsi="Calibri" w:cs="Arial"/>
          <w:b/>
          <w:sz w:val="24"/>
          <w:szCs w:val="24"/>
        </w:rPr>
        <w:t>Beschrijving van de procedure:</w:t>
      </w:r>
      <w:bookmarkStart w:id="0" w:name="_GoBack"/>
      <w:bookmarkEnd w:id="0"/>
    </w:p>
    <w:p w:rsidR="00033E75" w:rsidRDefault="00033E75" w:rsidP="00033E75">
      <w:pPr>
        <w:pStyle w:val="Tekstzonderopmaak"/>
        <w:keepLines/>
        <w:rPr>
          <w:rFonts w:ascii="Calibri" w:hAnsi="Calibri" w:cs="Arial"/>
          <w:sz w:val="22"/>
          <w:szCs w:val="22"/>
        </w:rPr>
      </w:pPr>
    </w:p>
    <w:p w:rsidR="00033E75" w:rsidRPr="00033E75" w:rsidRDefault="00033E75" w:rsidP="00033E75">
      <w:pPr>
        <w:numPr>
          <w:ilvl w:val="0"/>
          <w:numId w:val="13"/>
        </w:numPr>
        <w:jc w:val="both"/>
        <w:outlineLvl w:val="0"/>
        <w:rPr>
          <w:rFonts w:asciiTheme="minorHAnsi" w:eastAsiaTheme="minorHAnsi" w:hAnsiTheme="minorHAnsi" w:cstheme="minorBidi"/>
          <w:b/>
          <w:color w:val="009999"/>
          <w:sz w:val="22"/>
          <w:szCs w:val="22"/>
          <w:lang w:eastAsia="en-US"/>
        </w:rPr>
      </w:pPr>
      <w:r w:rsidRPr="00033E75">
        <w:rPr>
          <w:rFonts w:asciiTheme="minorHAnsi" w:eastAsiaTheme="minorHAnsi" w:hAnsiTheme="minorHAnsi" w:cstheme="minorBidi"/>
          <w:b/>
          <w:color w:val="009999"/>
          <w:sz w:val="22"/>
          <w:szCs w:val="22"/>
          <w:lang w:eastAsia="en-US"/>
        </w:rPr>
        <w:t>Seksuele gezondheid</w:t>
      </w:r>
      <w:r w:rsidRPr="00033E75">
        <w:rPr>
          <w:rFonts w:asciiTheme="minorHAnsi" w:eastAsiaTheme="minorHAnsi" w:hAnsiTheme="minorHAnsi" w:cstheme="minorBidi"/>
          <w:color w:val="009999"/>
          <w:sz w:val="22"/>
          <w:szCs w:val="22"/>
          <w:lang w:eastAsia="en-US"/>
        </w:rPr>
        <w:t xml:space="preserve"> </w:t>
      </w:r>
    </w:p>
    <w:p w:rsidR="00033E75" w:rsidRDefault="00033E75" w:rsidP="00033E75">
      <w:pPr>
        <w:ind w:left="709"/>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Binnen de algemene visie van MPI Oosterlo gaan we ervan uit dat personen met een beperking en in kwetsbare leefomstandigheden recht hebben om actief deel uit te maken van de samenleving (</w:t>
      </w:r>
      <w:r w:rsidRPr="00033E75">
        <w:rPr>
          <w:rFonts w:asciiTheme="minorHAnsi" w:eastAsiaTheme="minorHAnsi" w:hAnsiTheme="minorHAnsi" w:cstheme="minorBidi"/>
          <w:b/>
          <w:sz w:val="22"/>
          <w:szCs w:val="22"/>
          <w:lang w:val="nl-BE" w:eastAsia="en-US"/>
        </w:rPr>
        <w:t>inclusie</w:t>
      </w:r>
      <w:r w:rsidRPr="00033E75">
        <w:rPr>
          <w:rFonts w:asciiTheme="minorHAnsi" w:eastAsiaTheme="minorHAnsi" w:hAnsiTheme="minorHAnsi" w:cstheme="minorBidi"/>
          <w:sz w:val="22"/>
          <w:szCs w:val="22"/>
          <w:lang w:val="nl-BE" w:eastAsia="en-US"/>
        </w:rPr>
        <w:t xml:space="preserve">). We vertrekken vanuit de </w:t>
      </w:r>
      <w:r w:rsidRPr="00033E75">
        <w:rPr>
          <w:rFonts w:asciiTheme="minorHAnsi" w:eastAsiaTheme="minorHAnsi" w:hAnsiTheme="minorHAnsi" w:cstheme="minorBidi"/>
          <w:b/>
          <w:sz w:val="22"/>
          <w:szCs w:val="22"/>
          <w:lang w:val="nl-BE" w:eastAsia="en-US"/>
        </w:rPr>
        <w:t>mogelijkheden en krachten</w:t>
      </w:r>
      <w:r w:rsidRPr="00033E75">
        <w:rPr>
          <w:rFonts w:asciiTheme="minorHAnsi" w:eastAsiaTheme="minorHAnsi" w:hAnsiTheme="minorHAnsi" w:cstheme="minorBidi"/>
          <w:sz w:val="22"/>
          <w:szCs w:val="22"/>
          <w:lang w:val="nl-BE" w:eastAsia="en-US"/>
        </w:rPr>
        <w:t xml:space="preserve"> van onze cliënten en streven naar een zo groot mogelijke </w:t>
      </w:r>
      <w:r w:rsidRPr="00033E75">
        <w:rPr>
          <w:rFonts w:asciiTheme="minorHAnsi" w:eastAsiaTheme="minorHAnsi" w:hAnsiTheme="minorHAnsi" w:cstheme="minorBidi"/>
          <w:b/>
          <w:sz w:val="22"/>
          <w:szCs w:val="22"/>
          <w:lang w:val="nl-BE" w:eastAsia="en-US"/>
        </w:rPr>
        <w:t>zelfbepaling.</w:t>
      </w:r>
      <w:r w:rsidRPr="00033E75">
        <w:rPr>
          <w:rFonts w:asciiTheme="minorHAnsi" w:eastAsiaTheme="minorHAnsi" w:hAnsiTheme="minorHAnsi" w:cstheme="minorBidi"/>
          <w:sz w:val="22"/>
          <w:szCs w:val="22"/>
          <w:lang w:val="nl-BE" w:eastAsia="en-US"/>
        </w:rPr>
        <w:t xml:space="preserve"> De eerste bepaling in de verklaring van de Rechten van de Geestelijke Gehandicapten, een uitbreiding op de universele verklaring van de Rechten van de Mens, stelt dat mensen met een verstandelijke beperking dezelfde rechten hebben als elke andere burger van hetzelfde land en dezelfde leeftijd. Een persoon met een beperking moet hetzelfde recht hebben om seksualiteit te beleven als de leeftijdsgenoten van zijn eigen land (Vermeulen et al., 2007).</w:t>
      </w: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Hier hoort uiteraard ook een </w:t>
      </w:r>
      <w:r w:rsidRPr="00033E75">
        <w:rPr>
          <w:rFonts w:asciiTheme="minorHAnsi" w:eastAsiaTheme="minorHAnsi" w:hAnsiTheme="minorHAnsi" w:cstheme="minorBidi"/>
          <w:b/>
          <w:sz w:val="22"/>
          <w:szCs w:val="22"/>
          <w:lang w:val="nl-BE" w:eastAsia="en-US"/>
        </w:rPr>
        <w:t>gezonde seksuele ontwikkeling</w:t>
      </w:r>
      <w:r w:rsidRPr="00033E75">
        <w:rPr>
          <w:rFonts w:asciiTheme="minorHAnsi" w:eastAsiaTheme="minorHAnsi" w:hAnsiTheme="minorHAnsi" w:cstheme="minorBidi"/>
          <w:sz w:val="22"/>
          <w:szCs w:val="22"/>
          <w:lang w:val="nl-BE" w:eastAsia="en-US"/>
        </w:rPr>
        <w:t xml:space="preserve"> bij. We baseren ons hierdoor op de definitie die het WHO hieraan geeft:</w:t>
      </w:r>
    </w:p>
    <w:p w:rsidR="00033E75" w:rsidRPr="00033E75" w:rsidRDefault="00033E75" w:rsidP="00033E75">
      <w:pPr>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i/>
          <w:sz w:val="22"/>
          <w:szCs w:val="22"/>
          <w:lang w:val="nl-BE" w:eastAsia="en-US"/>
        </w:rPr>
      </w:pPr>
      <w:r w:rsidRPr="00033E75">
        <w:rPr>
          <w:rFonts w:asciiTheme="minorHAnsi" w:eastAsiaTheme="minorHAnsi" w:hAnsiTheme="minorHAnsi" w:cstheme="minorBidi"/>
          <w:i/>
          <w:sz w:val="22"/>
          <w:szCs w:val="22"/>
          <w:lang w:val="nl-BE" w:eastAsia="en-US"/>
        </w:rPr>
        <w:t>“Seksuele gezondheid is een met seksualiteit verbonden toestand van fysiek, emotioneel, mentaal en sociaal welzijn. Seksuele gezondheid is dus meer dan alleen de afwezigheid van ziekte, disfunctie of zwakte. Seksuele gezondheid vereist een positieve en respectvolle benadering van seksualiteit en seksuele relaties. Seksuele gezondheid vereist ook het mogen en kunnen aangaan van plezierige en veilige seksuele ervaringen; zonder dwang, discriminatie en geweld. Om seksuele gezondheid te bereiken en te behouden, moeten de seksuele rechten van alle personen worden gerespecteerd, beschermd en gerealiseerd.” (WHO, 2010).</w:t>
      </w:r>
    </w:p>
    <w:p w:rsidR="00033E75" w:rsidRPr="00033E75" w:rsidRDefault="00033E75" w:rsidP="00033E75">
      <w:pPr>
        <w:jc w:val="both"/>
        <w:rPr>
          <w:rFonts w:asciiTheme="minorHAnsi" w:eastAsiaTheme="minorHAnsi" w:hAnsiTheme="minorHAnsi" w:cstheme="minorBidi"/>
          <w:i/>
          <w:sz w:val="22"/>
          <w:szCs w:val="22"/>
          <w:lang w:val="nl-BE" w:eastAsia="en-US"/>
        </w:rPr>
      </w:pPr>
      <w:bookmarkStart w:id="1" w:name="_Hlk127891032"/>
    </w:p>
    <w:bookmarkEnd w:id="1"/>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Tevens hechten we als organisatie veel belang aan diversiteit. We willen een inclusieve zorgorganisatie zijn waar alle cliënten (en personeelsleden) zich thuis voelen, dus ook ongeacht zijn, haar of hun seksuele oriëntatie of genderidentiteit. Zo staan wij achter - en open voor de LGBTQIA+-gemeenschap. (</w:t>
      </w:r>
      <w:proofErr w:type="spellStart"/>
      <w:r w:rsidRPr="00033E75">
        <w:rPr>
          <w:rFonts w:asciiTheme="minorHAnsi" w:eastAsiaTheme="minorHAnsi" w:hAnsiTheme="minorHAnsi" w:cstheme="minorBidi"/>
          <w:sz w:val="22"/>
          <w:szCs w:val="22"/>
          <w:lang w:val="nl-BE" w:eastAsia="en-US"/>
        </w:rPr>
        <w:t>Lesbian</w:t>
      </w:r>
      <w:proofErr w:type="spellEnd"/>
      <w:r w:rsidRPr="00033E75">
        <w:rPr>
          <w:rFonts w:asciiTheme="minorHAnsi" w:eastAsiaTheme="minorHAnsi" w:hAnsiTheme="minorHAnsi" w:cstheme="minorBidi"/>
          <w:sz w:val="22"/>
          <w:szCs w:val="22"/>
          <w:lang w:val="nl-BE" w:eastAsia="en-US"/>
        </w:rPr>
        <w:t xml:space="preserve">, Gay, </w:t>
      </w:r>
      <w:proofErr w:type="spellStart"/>
      <w:r w:rsidRPr="00033E75">
        <w:rPr>
          <w:rFonts w:asciiTheme="minorHAnsi" w:eastAsiaTheme="minorHAnsi" w:hAnsiTheme="minorHAnsi" w:cstheme="minorBidi"/>
          <w:sz w:val="22"/>
          <w:szCs w:val="22"/>
          <w:lang w:val="nl-BE" w:eastAsia="en-US"/>
        </w:rPr>
        <w:t>Bisexual</w:t>
      </w:r>
      <w:proofErr w:type="spellEnd"/>
      <w:r w:rsidRPr="00033E75">
        <w:rPr>
          <w:rFonts w:asciiTheme="minorHAnsi" w:eastAsiaTheme="minorHAnsi" w:hAnsiTheme="minorHAnsi" w:cstheme="minorBidi"/>
          <w:sz w:val="22"/>
          <w:szCs w:val="22"/>
          <w:lang w:val="nl-BE" w:eastAsia="en-US"/>
        </w:rPr>
        <w:t xml:space="preserve">, Trans, </w:t>
      </w:r>
      <w:proofErr w:type="spellStart"/>
      <w:r w:rsidRPr="00033E75">
        <w:rPr>
          <w:rFonts w:asciiTheme="minorHAnsi" w:eastAsiaTheme="minorHAnsi" w:hAnsiTheme="minorHAnsi" w:cstheme="minorBidi"/>
          <w:sz w:val="22"/>
          <w:szCs w:val="22"/>
          <w:lang w:val="nl-BE" w:eastAsia="en-US"/>
        </w:rPr>
        <w:t>Queer</w:t>
      </w:r>
      <w:proofErr w:type="spellEnd"/>
      <w:r w:rsidRPr="00033E75">
        <w:rPr>
          <w:rFonts w:asciiTheme="minorHAnsi" w:eastAsiaTheme="minorHAnsi" w:hAnsiTheme="minorHAnsi" w:cstheme="minorBidi"/>
          <w:sz w:val="22"/>
          <w:szCs w:val="22"/>
          <w:lang w:val="nl-BE" w:eastAsia="en-US"/>
        </w:rPr>
        <w:t xml:space="preserve">, </w:t>
      </w:r>
      <w:proofErr w:type="spellStart"/>
      <w:r w:rsidRPr="00033E75">
        <w:rPr>
          <w:rFonts w:asciiTheme="minorHAnsi" w:eastAsiaTheme="minorHAnsi" w:hAnsiTheme="minorHAnsi" w:cstheme="minorBidi"/>
          <w:sz w:val="22"/>
          <w:szCs w:val="22"/>
          <w:lang w:val="nl-BE" w:eastAsia="en-US"/>
        </w:rPr>
        <w:t>Intersex</w:t>
      </w:r>
      <w:proofErr w:type="spellEnd"/>
      <w:r w:rsidRPr="00033E75">
        <w:rPr>
          <w:rFonts w:asciiTheme="minorHAnsi" w:eastAsiaTheme="minorHAnsi" w:hAnsiTheme="minorHAnsi" w:cstheme="minorBidi"/>
          <w:sz w:val="22"/>
          <w:szCs w:val="22"/>
          <w:lang w:val="nl-BE" w:eastAsia="en-US"/>
        </w:rPr>
        <w:t xml:space="preserve">, </w:t>
      </w:r>
      <w:proofErr w:type="spellStart"/>
      <w:r w:rsidRPr="00033E75">
        <w:rPr>
          <w:rFonts w:asciiTheme="minorHAnsi" w:eastAsiaTheme="minorHAnsi" w:hAnsiTheme="minorHAnsi" w:cstheme="minorBidi"/>
          <w:sz w:val="22"/>
          <w:szCs w:val="22"/>
          <w:lang w:val="nl-BE" w:eastAsia="en-US"/>
        </w:rPr>
        <w:t>Asexual</w:t>
      </w:r>
      <w:proofErr w:type="spellEnd"/>
      <w:r w:rsidRPr="00033E75">
        <w:rPr>
          <w:rFonts w:asciiTheme="minorHAnsi" w:eastAsiaTheme="minorHAnsi" w:hAnsiTheme="minorHAnsi" w:cstheme="minorBidi"/>
          <w:sz w:val="22"/>
          <w:szCs w:val="22"/>
          <w:lang w:val="nl-BE" w:eastAsia="en-US"/>
        </w:rPr>
        <w:t>, + staat voor al die andere mogelijke manieren waarop mensen zichzelf, dus hun gender of seksualiteit kunnen benoemen). We vinden het belangrijk dat er acceptatie van en respect voor diversiteit in seksualiteit en seksuele geaardheid is. We respecteren de verscheidenheid aan seksuele identiteiten, oriëntaties, gedrag, sociale contacten en leefwijzen. Iedere cliënt moet in zijn waarde worden gelaten en heeft daarnaast recht op een veilige omgeving waar iedereen zichzelf kan zijn en zichzelf kan uiten.</w:t>
      </w:r>
    </w:p>
    <w:p w:rsidR="00033E75" w:rsidRPr="00033E75" w:rsidRDefault="00033E75" w:rsidP="00033E75">
      <w:pPr>
        <w:jc w:val="both"/>
        <w:rPr>
          <w:rFonts w:asciiTheme="minorHAnsi" w:eastAsiaTheme="minorHAnsi" w:hAnsiTheme="minorHAnsi" w:cstheme="minorBidi"/>
          <w:sz w:val="22"/>
          <w:szCs w:val="22"/>
          <w:lang w:val="nl-BE" w:eastAsia="en-US"/>
        </w:rPr>
      </w:pPr>
    </w:p>
    <w:p w:rsidR="00033E75" w:rsidRPr="00033E75" w:rsidRDefault="00033E75" w:rsidP="00033E75">
      <w:pPr>
        <w:keepNext/>
        <w:keepLines/>
        <w:numPr>
          <w:ilvl w:val="0"/>
          <w:numId w:val="13"/>
        </w:numPr>
        <w:jc w:val="both"/>
        <w:outlineLvl w:val="0"/>
        <w:rPr>
          <w:rFonts w:asciiTheme="minorHAnsi" w:eastAsiaTheme="minorHAnsi" w:hAnsiTheme="minorHAnsi" w:cstheme="minorBidi"/>
          <w:b/>
          <w:color w:val="009999"/>
          <w:sz w:val="22"/>
          <w:szCs w:val="22"/>
          <w:lang w:eastAsia="en-US"/>
        </w:rPr>
      </w:pPr>
      <w:r w:rsidRPr="00033E75">
        <w:rPr>
          <w:rFonts w:asciiTheme="minorHAnsi" w:eastAsiaTheme="minorHAnsi" w:hAnsiTheme="minorHAnsi" w:cstheme="minorBidi"/>
          <w:b/>
          <w:color w:val="009999"/>
          <w:sz w:val="22"/>
          <w:szCs w:val="22"/>
          <w:lang w:eastAsia="en-US"/>
        </w:rPr>
        <w:lastRenderedPageBreak/>
        <w:t>Seksuele ontwikkeling</w:t>
      </w:r>
      <w:r w:rsidRPr="00033E75">
        <w:rPr>
          <w:rFonts w:asciiTheme="minorHAnsi" w:eastAsiaTheme="minorHAnsi" w:hAnsiTheme="minorHAnsi" w:cstheme="minorBidi"/>
          <w:color w:val="FF0000"/>
          <w:sz w:val="22"/>
          <w:szCs w:val="22"/>
          <w:lang w:eastAsia="en-US"/>
        </w:rPr>
        <w:t xml:space="preserve"> </w:t>
      </w:r>
    </w:p>
    <w:p w:rsidR="00033E75" w:rsidRDefault="00033E75" w:rsidP="00033E75">
      <w:pPr>
        <w:keepNext/>
        <w:keepLines/>
        <w:ind w:left="709"/>
        <w:jc w:val="both"/>
        <w:rPr>
          <w:rFonts w:asciiTheme="minorHAnsi" w:eastAsiaTheme="minorHAnsi" w:hAnsiTheme="minorHAnsi" w:cstheme="minorBidi"/>
          <w:sz w:val="22"/>
          <w:szCs w:val="22"/>
          <w:lang w:eastAsia="en-US"/>
        </w:rPr>
      </w:pPr>
    </w:p>
    <w:p w:rsidR="00033E75" w:rsidRPr="00033E75" w:rsidRDefault="00033E75" w:rsidP="00033E75">
      <w:pPr>
        <w:keepNext/>
        <w:keepLines/>
        <w:ind w:left="709"/>
        <w:jc w:val="both"/>
        <w:rPr>
          <w:rFonts w:asciiTheme="minorHAnsi" w:eastAsiaTheme="minorHAnsi" w:hAnsiTheme="minorHAnsi" w:cstheme="minorBidi"/>
          <w:sz w:val="22"/>
          <w:szCs w:val="22"/>
          <w:lang w:eastAsia="en-US"/>
        </w:rPr>
      </w:pPr>
      <w:r w:rsidRPr="00033E75">
        <w:rPr>
          <w:rFonts w:asciiTheme="minorHAnsi" w:eastAsiaTheme="minorHAnsi" w:hAnsiTheme="minorHAnsi" w:cstheme="minorBidi"/>
          <w:sz w:val="22"/>
          <w:szCs w:val="22"/>
          <w:lang w:eastAsia="en-US"/>
        </w:rPr>
        <w:t xml:space="preserve">De seksuele ontwikkeling start in de vroege kinderjaren en zet zich voort in de puberteit en volwassenheid. De seksuele ontwikkeling bestaat uit een samenspel tussen lichamelijke, cognitieve, psychische, sociale, relationele, ethische, religieuze en culturele factoren. Kinderen en jongeren spelen zelf een actieve rol in hun seksuele ontwikkeling door te reageren op de omgeving, betekenis te geven aan denkbeelden, emoties en gedragingen, en zelf keuzes te maken. </w:t>
      </w:r>
    </w:p>
    <w:p w:rsidR="00033E75" w:rsidRPr="00033E75" w:rsidRDefault="00033E75" w:rsidP="00033E75">
      <w:pPr>
        <w:ind w:left="709"/>
        <w:jc w:val="both"/>
        <w:rPr>
          <w:rFonts w:asciiTheme="minorHAnsi" w:eastAsiaTheme="minorHAnsi" w:hAnsiTheme="minorHAnsi" w:cstheme="minorBidi"/>
          <w:sz w:val="22"/>
          <w:szCs w:val="22"/>
          <w:lang w:eastAsia="en-US"/>
        </w:rPr>
      </w:pPr>
    </w:p>
    <w:p w:rsidR="00033E75" w:rsidRPr="00033E75" w:rsidRDefault="00033E75" w:rsidP="00033E75">
      <w:pPr>
        <w:ind w:left="709"/>
        <w:jc w:val="both"/>
        <w:rPr>
          <w:rFonts w:asciiTheme="minorHAnsi" w:eastAsiaTheme="minorHAnsi" w:hAnsiTheme="minorHAnsi" w:cstheme="minorBidi"/>
          <w:sz w:val="22"/>
          <w:szCs w:val="22"/>
          <w:lang w:eastAsia="en-US"/>
        </w:rPr>
      </w:pPr>
      <w:r w:rsidRPr="00033E75">
        <w:rPr>
          <w:rFonts w:asciiTheme="minorHAnsi" w:eastAsiaTheme="minorHAnsi" w:hAnsiTheme="minorHAnsi" w:cstheme="minorBidi"/>
          <w:sz w:val="22"/>
          <w:szCs w:val="22"/>
          <w:lang w:eastAsia="en-US"/>
        </w:rPr>
        <w:t>Alle kinderen en jongeren ontwikkelen zich op vlak van seksualiteit. Ook kwetsbare kinderen en jongeren. Deze ontwikkeling:</w:t>
      </w:r>
    </w:p>
    <w:p w:rsidR="00033E75" w:rsidRPr="00033E75" w:rsidRDefault="00033E75" w:rsidP="00033E75">
      <w:pPr>
        <w:numPr>
          <w:ilvl w:val="0"/>
          <w:numId w:val="14"/>
        </w:numPr>
        <w:ind w:left="1134"/>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Is een stapsgewijs en dynamisch proces</w:t>
      </w:r>
    </w:p>
    <w:p w:rsidR="00033E75" w:rsidRPr="00033E75" w:rsidRDefault="00033E75" w:rsidP="00033E75">
      <w:pPr>
        <w:numPr>
          <w:ilvl w:val="0"/>
          <w:numId w:val="14"/>
        </w:numPr>
        <w:ind w:left="1134"/>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Bouwt verder op vorige fasen</w:t>
      </w:r>
    </w:p>
    <w:p w:rsidR="00033E75" w:rsidRPr="00033E75" w:rsidRDefault="00033E75" w:rsidP="00033E75">
      <w:pPr>
        <w:numPr>
          <w:ilvl w:val="0"/>
          <w:numId w:val="14"/>
        </w:numPr>
        <w:ind w:left="1134"/>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Is een leerproces, waarbij ervaringsleren centraal staat</w:t>
      </w:r>
    </w:p>
    <w:p w:rsidR="00033E75" w:rsidRPr="00033E75" w:rsidRDefault="00033E75" w:rsidP="00033E75">
      <w:pPr>
        <w:numPr>
          <w:ilvl w:val="0"/>
          <w:numId w:val="14"/>
        </w:numPr>
        <w:ind w:left="1134"/>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kent een grote diversiteit in tempo, duur, concreet gedrag en beleving.</w:t>
      </w:r>
    </w:p>
    <w:p w:rsidR="00033E75" w:rsidRPr="00033E75" w:rsidRDefault="00033E75" w:rsidP="00033E75">
      <w:pPr>
        <w:numPr>
          <w:ilvl w:val="0"/>
          <w:numId w:val="14"/>
        </w:numPr>
        <w:ind w:left="1134"/>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wordt beïnvloed door de tijdsgeest/context (sociale media, internet, …) </w:t>
      </w:r>
    </w:p>
    <w:p w:rsidR="00033E75" w:rsidRPr="00033E75" w:rsidRDefault="00033E75" w:rsidP="00033E75">
      <w:pPr>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Voor een goede ondersteuning van mensen met een verstandelijke beperking is het belangrijk inzicht te hebben in hun seksuele ontwikkeling en hoe deze anders verloopt dan bij mensen zonder een verstandelijke beperking. Dit betekent ook dat de seksualiteitsbeleving sterk verschilt naargelang de (ontwikkelings-) leeftijd. Ook jonge kinderen beleven seksualiteit, maar doen dit op een andere manier dan adolescenten.  De beleving van kinderen is waardevol op zich en des te belangrijker omdat de verdere ontwikkeling er op stoelt. De seksuele beleving en het daarmee samenhangend gedrag kunnen aanzienlijk en individueel variëren. </w:t>
      </w:r>
    </w:p>
    <w:p w:rsidR="00033E75" w:rsidRPr="00033E75" w:rsidRDefault="00033E75" w:rsidP="00033E75">
      <w:pPr>
        <w:ind w:left="709"/>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Hierdoor kijken we vooral naar de emotionele leeftijd van de cliënt in plaats van naar de kalenderleeftijd als het gaat over seksualiteitsbeleving. We baseren ons op de SEO (schaal voor emotionele ontwikkeling) van Anton </w:t>
      </w:r>
      <w:proofErr w:type="spellStart"/>
      <w:r w:rsidRPr="00033E75">
        <w:rPr>
          <w:rFonts w:asciiTheme="minorHAnsi" w:eastAsiaTheme="minorHAnsi" w:hAnsiTheme="minorHAnsi" w:cstheme="minorBidi"/>
          <w:sz w:val="22"/>
          <w:szCs w:val="22"/>
          <w:lang w:val="nl-BE" w:eastAsia="en-US"/>
        </w:rPr>
        <w:t>Dösen</w:t>
      </w:r>
      <w:proofErr w:type="spellEnd"/>
      <w:r w:rsidRPr="00033E75">
        <w:rPr>
          <w:rFonts w:asciiTheme="minorHAnsi" w:eastAsiaTheme="minorHAnsi" w:hAnsiTheme="minorHAnsi" w:cstheme="minorBidi"/>
          <w:sz w:val="22"/>
          <w:szCs w:val="22"/>
          <w:lang w:val="nl-BE" w:eastAsia="en-US"/>
        </w:rPr>
        <w:t xml:space="preserve"> om in te schatten op welk niveau de cliënt functioneert, alsook op de normatieve lijst om zicht te krijgen welk gedrag kenmerkend is voor een bepaalde ontwikkelingsfase. </w:t>
      </w: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Ook seksueel (grensoverschrijdend) gedrag is, zoals elke vorm van gedrag, betekenisvol, en kan (zeker bij personen met beperkte communicatievaardigheden/mogelijkheden) ook een signaal zijn van onderliggende emotionele behoeften. </w:t>
      </w:r>
    </w:p>
    <w:p w:rsidR="00033E75" w:rsidRPr="00033E75" w:rsidRDefault="00033E75" w:rsidP="00033E75">
      <w:pPr>
        <w:ind w:left="709"/>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We vinden het belangrijk om de seksuele ontwikkeling van personen met een beperking te ondersteunen en bij te sturen waar nodig. Hiervoor kan er gebruik gemaakt worden van verscheidene hulpmiddelen (vorming, fysieke hulpmiddelen, dienstverlening, omgaan met pornografisch materiaal).</w:t>
      </w:r>
    </w:p>
    <w:p w:rsidR="00033E75" w:rsidRPr="00033E75" w:rsidRDefault="00033E75" w:rsidP="00033E75">
      <w:pPr>
        <w:jc w:val="both"/>
        <w:rPr>
          <w:rFonts w:asciiTheme="minorHAnsi" w:eastAsiaTheme="minorHAnsi" w:hAnsiTheme="minorHAnsi" w:cstheme="minorBidi"/>
          <w:sz w:val="22"/>
          <w:szCs w:val="22"/>
          <w:lang w:val="nl-BE" w:eastAsia="en-US"/>
        </w:rPr>
      </w:pPr>
    </w:p>
    <w:p w:rsidR="00033E75" w:rsidRPr="00033E75" w:rsidRDefault="00033E75" w:rsidP="00033E75">
      <w:pPr>
        <w:numPr>
          <w:ilvl w:val="0"/>
          <w:numId w:val="13"/>
        </w:numPr>
        <w:jc w:val="both"/>
        <w:outlineLvl w:val="0"/>
        <w:rPr>
          <w:rFonts w:asciiTheme="minorHAnsi" w:eastAsiaTheme="minorHAnsi" w:hAnsiTheme="minorHAnsi" w:cstheme="minorBidi"/>
          <w:b/>
          <w:color w:val="009999"/>
          <w:sz w:val="22"/>
          <w:szCs w:val="22"/>
          <w:lang w:eastAsia="en-US"/>
        </w:rPr>
      </w:pPr>
      <w:r w:rsidRPr="00033E75">
        <w:rPr>
          <w:rFonts w:asciiTheme="minorHAnsi" w:eastAsiaTheme="minorHAnsi" w:hAnsiTheme="minorHAnsi" w:cstheme="minorBidi"/>
          <w:b/>
          <w:color w:val="009999"/>
          <w:sz w:val="22"/>
          <w:szCs w:val="22"/>
          <w:lang w:eastAsia="en-US"/>
        </w:rPr>
        <w:t>Minderjarigenwerking en volwassenwerking</w:t>
      </w:r>
    </w:p>
    <w:p w:rsidR="00033E75" w:rsidRDefault="00033E75" w:rsidP="00033E75">
      <w:pPr>
        <w:ind w:left="709"/>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In de </w:t>
      </w:r>
      <w:r w:rsidRPr="00033E75">
        <w:rPr>
          <w:rFonts w:asciiTheme="minorHAnsi" w:eastAsiaTheme="minorHAnsi" w:hAnsiTheme="minorHAnsi" w:cstheme="minorBidi"/>
          <w:b/>
          <w:sz w:val="22"/>
          <w:szCs w:val="22"/>
          <w:lang w:val="nl-BE" w:eastAsia="en-US"/>
        </w:rPr>
        <w:t xml:space="preserve">minderjarigenzorg </w:t>
      </w:r>
      <w:r w:rsidRPr="00033E75">
        <w:rPr>
          <w:rFonts w:asciiTheme="minorHAnsi" w:eastAsiaTheme="minorHAnsi" w:hAnsiTheme="minorHAnsi" w:cstheme="minorBidi"/>
          <w:sz w:val="22"/>
          <w:szCs w:val="22"/>
          <w:lang w:val="nl-BE" w:eastAsia="en-US"/>
        </w:rPr>
        <w:t xml:space="preserve">moeten we in een seksueel veilig klimaat kinderen en jongeren een uitdrukkelijke kans geven om op een positieve manier te leren uit ervaringen. Hierbij maken we gebruik van het vlaggensysteem van SENSOA en het juridische kader zoals beschreven in het Belgisch wetboek als leidraad om situaties in te schatten. Dit betekent dat we onder 16 jaar geen seksuele handelingen met anderen toestaan. Bij cliënten ouder dan 16 jaar wordt op individueel niveau gekeken wat er mogelijk is en wat wenselijk is. Seksuele dienstverlening via </w:t>
      </w:r>
      <w:proofErr w:type="spellStart"/>
      <w:r w:rsidRPr="00033E75">
        <w:rPr>
          <w:rFonts w:asciiTheme="minorHAnsi" w:eastAsiaTheme="minorHAnsi" w:hAnsiTheme="minorHAnsi" w:cstheme="minorBidi"/>
          <w:sz w:val="22"/>
          <w:szCs w:val="22"/>
          <w:lang w:val="nl-BE" w:eastAsia="en-US"/>
        </w:rPr>
        <w:lastRenderedPageBreak/>
        <w:t>Aditi</w:t>
      </w:r>
      <w:proofErr w:type="spellEnd"/>
      <w:r w:rsidRPr="00033E75">
        <w:rPr>
          <w:rFonts w:asciiTheme="minorHAnsi" w:eastAsiaTheme="minorHAnsi" w:hAnsiTheme="minorHAnsi" w:cstheme="minorBidi"/>
          <w:sz w:val="22"/>
          <w:szCs w:val="22"/>
          <w:lang w:val="nl-BE" w:eastAsia="en-US"/>
        </w:rPr>
        <w:t xml:space="preserve"> wordt toegestaan indien de cliënt minimaal 18 jaar is, het in het belang is van het functioneren van de cliënt én het geen schade berokkent aan andere cliënten of de werking. Dit gebeurt steeds in samenspraak met het netwerk en met oog voor de fysieke en emotionele veiligheid van de cliënten.  </w:t>
      </w:r>
    </w:p>
    <w:p w:rsidR="00033E75" w:rsidRPr="00033E75" w:rsidRDefault="00033E75" w:rsidP="00033E75">
      <w:pPr>
        <w:ind w:left="709"/>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Ook voor onze </w:t>
      </w:r>
      <w:r w:rsidRPr="00033E75">
        <w:rPr>
          <w:rFonts w:asciiTheme="minorHAnsi" w:eastAsiaTheme="minorHAnsi" w:hAnsiTheme="minorHAnsi" w:cstheme="minorBidi"/>
          <w:b/>
          <w:sz w:val="22"/>
          <w:szCs w:val="22"/>
          <w:lang w:val="nl-BE" w:eastAsia="en-US"/>
        </w:rPr>
        <w:t>volwassen cliënten</w:t>
      </w:r>
      <w:r w:rsidRPr="00033E75">
        <w:rPr>
          <w:rFonts w:asciiTheme="minorHAnsi" w:eastAsiaTheme="minorHAnsi" w:hAnsiTheme="minorHAnsi" w:cstheme="minorBidi"/>
          <w:sz w:val="22"/>
          <w:szCs w:val="22"/>
          <w:lang w:val="nl-BE" w:eastAsia="en-US"/>
        </w:rPr>
        <w:t xml:space="preserve"> is een veilig seksueel klimaat belangrijk om hun seksualiteitsontwikkeling te bevorderen en te ondersteunen. Binnen onze volwassenwerking is het mogelijk dat cliënten die reeds een geruime tijd een relatie hebben, samen de nacht doorbrengen of op andere manieren de mogelijkheid krijgen om hun relatie vorm te geven. Dit gebeurt steeds in samenspraak met het netwerk en met oog voor de fysieke en emotionele veiligheid van de cliënten. Binnen de volwassenwerking is het mogelijk voor individuele cliënten om gebruik te maken van seksuele dienstverlening via </w:t>
      </w:r>
      <w:proofErr w:type="spellStart"/>
      <w:r w:rsidRPr="00033E75">
        <w:rPr>
          <w:rFonts w:asciiTheme="minorHAnsi" w:eastAsiaTheme="minorHAnsi" w:hAnsiTheme="minorHAnsi" w:cstheme="minorBidi"/>
          <w:sz w:val="22"/>
          <w:szCs w:val="22"/>
          <w:lang w:val="nl-BE" w:eastAsia="en-US"/>
        </w:rPr>
        <w:t>Aditi</w:t>
      </w:r>
      <w:proofErr w:type="spellEnd"/>
      <w:r w:rsidRPr="00033E75">
        <w:rPr>
          <w:rFonts w:asciiTheme="minorHAnsi" w:eastAsiaTheme="minorHAnsi" w:hAnsiTheme="minorHAnsi" w:cstheme="minorBidi"/>
          <w:sz w:val="22"/>
          <w:szCs w:val="22"/>
          <w:lang w:val="nl-BE" w:eastAsia="en-US"/>
        </w:rPr>
        <w:t>. Dit kadert binnen de bredere visie dat het recht op seksualiteitsbeleving een basisrecht is.</w:t>
      </w:r>
    </w:p>
    <w:p w:rsidR="00033E75" w:rsidRPr="00033E75" w:rsidRDefault="00033E75" w:rsidP="00033E75">
      <w:pPr>
        <w:jc w:val="both"/>
        <w:rPr>
          <w:rFonts w:asciiTheme="minorHAnsi" w:eastAsiaTheme="minorHAnsi" w:hAnsiTheme="minorHAnsi" w:cstheme="minorBidi"/>
          <w:sz w:val="22"/>
          <w:szCs w:val="22"/>
          <w:lang w:val="nl-BE" w:eastAsia="en-US"/>
        </w:rPr>
      </w:pPr>
    </w:p>
    <w:p w:rsidR="00033E75" w:rsidRPr="00033E75" w:rsidRDefault="00033E75" w:rsidP="00033E75">
      <w:pPr>
        <w:numPr>
          <w:ilvl w:val="0"/>
          <w:numId w:val="13"/>
        </w:numPr>
        <w:jc w:val="both"/>
        <w:outlineLvl w:val="0"/>
        <w:rPr>
          <w:rFonts w:asciiTheme="minorHAnsi" w:eastAsiaTheme="minorHAnsi" w:hAnsiTheme="minorHAnsi" w:cstheme="minorBidi"/>
          <w:b/>
          <w:color w:val="009999"/>
          <w:sz w:val="22"/>
          <w:szCs w:val="22"/>
          <w:lang w:eastAsia="en-US"/>
        </w:rPr>
      </w:pPr>
      <w:r w:rsidRPr="00033E75">
        <w:rPr>
          <w:rFonts w:asciiTheme="minorHAnsi" w:eastAsiaTheme="minorHAnsi" w:hAnsiTheme="minorHAnsi" w:cstheme="minorBidi"/>
          <w:b/>
          <w:color w:val="009999"/>
          <w:sz w:val="22"/>
          <w:szCs w:val="22"/>
          <w:lang w:eastAsia="en-US"/>
        </w:rPr>
        <w:t xml:space="preserve">Netwerk </w:t>
      </w:r>
    </w:p>
    <w:p w:rsidR="00033E75" w:rsidRDefault="00033E75" w:rsidP="00033E75">
      <w:pPr>
        <w:ind w:left="709"/>
        <w:jc w:val="both"/>
        <w:rPr>
          <w:rFonts w:asciiTheme="minorHAnsi" w:eastAsiaTheme="minorHAnsi" w:hAnsiTheme="minorHAnsi" w:cstheme="minorBidi"/>
          <w:sz w:val="22"/>
          <w:szCs w:val="22"/>
          <w:lang w:eastAsia="en-US"/>
        </w:rPr>
      </w:pPr>
      <w:bookmarkStart w:id="2" w:name="_Hlk127891061"/>
    </w:p>
    <w:p w:rsidR="00033E75" w:rsidRPr="00033E75" w:rsidRDefault="00033E75" w:rsidP="00033E75">
      <w:pPr>
        <w:ind w:left="709"/>
        <w:jc w:val="both"/>
        <w:rPr>
          <w:rFonts w:asciiTheme="minorHAnsi" w:eastAsiaTheme="minorHAnsi" w:hAnsiTheme="minorHAnsi" w:cstheme="minorBidi"/>
          <w:sz w:val="22"/>
          <w:szCs w:val="22"/>
          <w:lang w:eastAsia="en-US"/>
        </w:rPr>
      </w:pPr>
      <w:r w:rsidRPr="00033E75">
        <w:rPr>
          <w:rFonts w:asciiTheme="minorHAnsi" w:eastAsiaTheme="minorHAnsi" w:hAnsiTheme="minorHAnsi" w:cstheme="minorBidi"/>
          <w:sz w:val="22"/>
          <w:szCs w:val="22"/>
          <w:lang w:eastAsia="en-US"/>
        </w:rPr>
        <w:t xml:space="preserve">Binnen de begeleiding van de cliënt proberen we steeds het netwerk te betrekken in het handelingsplan. Ook rond het thema relaties en seksualiteit is het belangrijk om het netwerk te betrekken bij en in te lichten over de seksualiteitsbeleving van de cliënt. Seksualiteitsbeleving wordt besproken, ook als er niets noemenswaardig te vertellen is op dit moment, zodat er openheid ontstaat voor het onderwerp. We zien de context als een volwaardige partner die meehelpt in het verwerven van inzicht in de cliënt en zijn/haar seksuele ontwikkeling. Hierbij respecteren we de grenzen en privacy van de cliënt alsook de context. Wanneer we botsen op visieverschil proberen we op een constructieve manier samen tot een oplossing te komen in het belang van de cliënt. </w:t>
      </w:r>
    </w:p>
    <w:p w:rsidR="00033E75" w:rsidRPr="00033E75" w:rsidRDefault="00033E75" w:rsidP="00033E75">
      <w:pPr>
        <w:jc w:val="both"/>
        <w:rPr>
          <w:rFonts w:asciiTheme="minorHAnsi" w:eastAsiaTheme="minorHAnsi" w:hAnsiTheme="minorHAnsi" w:cstheme="minorBidi"/>
          <w:sz w:val="22"/>
          <w:szCs w:val="22"/>
          <w:lang w:eastAsia="en-US"/>
        </w:rPr>
      </w:pPr>
    </w:p>
    <w:bookmarkEnd w:id="2"/>
    <w:p w:rsidR="00033E75" w:rsidRPr="00033E75" w:rsidRDefault="00033E75" w:rsidP="00033E75">
      <w:pPr>
        <w:numPr>
          <w:ilvl w:val="0"/>
          <w:numId w:val="13"/>
        </w:numPr>
        <w:jc w:val="both"/>
        <w:outlineLvl w:val="0"/>
        <w:rPr>
          <w:rFonts w:asciiTheme="minorHAnsi" w:eastAsiaTheme="minorHAnsi" w:hAnsiTheme="minorHAnsi" w:cstheme="minorBidi"/>
          <w:color w:val="FF0000"/>
          <w:sz w:val="22"/>
          <w:szCs w:val="22"/>
          <w:lang w:eastAsia="en-US"/>
        </w:rPr>
      </w:pPr>
      <w:r w:rsidRPr="00033E75">
        <w:rPr>
          <w:rFonts w:asciiTheme="minorHAnsi" w:eastAsiaTheme="minorHAnsi" w:hAnsiTheme="minorHAnsi" w:cstheme="minorBidi"/>
          <w:b/>
          <w:color w:val="009999"/>
          <w:sz w:val="22"/>
          <w:szCs w:val="22"/>
          <w:lang w:eastAsia="en-US"/>
        </w:rPr>
        <w:t xml:space="preserve">Zwangerschap/Ouderschap </w:t>
      </w:r>
    </w:p>
    <w:p w:rsidR="00033E75" w:rsidRDefault="00033E75" w:rsidP="00033E75">
      <w:pPr>
        <w:ind w:left="709"/>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Binnen onze voorziening doen we er alles aan om de seksualiteitsbeleving van onze cliënten op een veilige manier te laten verlopen. Hierbij hoort ook het gebruik van anticonceptie methodes. Vanaf de puberteit gaan we met de cliënt het gesprek aan over het opstarten van anticonceptie (de pil, condooms aanbieden,…). We gaan ook het gesprek aan over de risico’s verbonden aan seksuele handelingen. Dit gesprek wordt op regelmatige basis herhaald doorheen de ontwikkeling. </w:t>
      </w:r>
    </w:p>
    <w:p w:rsidR="00033E75" w:rsidRPr="00033E75" w:rsidRDefault="00033E75" w:rsidP="00033E75">
      <w:pPr>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Met onze organisatie onderschrijven we het lichamelijk zelfbeschikkingsrecht van onze cliënten. We leggen het gebruik van anticonceptie niet op. Desondanks is het belangrijk om de veiligheid van seksuele contacten te waarborgen. Wanneer de contacten volgens ons oordeel niet veilig verlopen, kunnen er pedagogische maatregelen getroffen worden om de veiligheid te herstellen. (Bv enkel bezoek in de leefgroep, geen mogelijkheid tot seksuele contacten).</w:t>
      </w:r>
    </w:p>
    <w:p w:rsidR="00033E75" w:rsidRPr="00033E75" w:rsidRDefault="00033E75" w:rsidP="00033E75">
      <w:pPr>
        <w:ind w:left="709"/>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Bepaalde cliënten hebben een kinderwens. Het is belangrijk om deze wens niet te negeren maar in gesprek te gaan over de betekenis en de impact hiervan. </w:t>
      </w:r>
    </w:p>
    <w:p w:rsidR="00033E75" w:rsidRPr="00033E75" w:rsidRDefault="00033E75" w:rsidP="00033E75">
      <w:pPr>
        <w:ind w:left="709"/>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Wanneer één van onze cliënten zwanger is, proberen we haar op de beste manier te ondersteunen. We bekijken samen met haar, de vader en belangrijke derden alle mogelijkheden en ondersteunen de keuze die gemaakt wordt. Wanneer er gekozen wordt om </w:t>
      </w:r>
      <w:r w:rsidRPr="00033E75">
        <w:rPr>
          <w:rFonts w:asciiTheme="minorHAnsi" w:eastAsiaTheme="minorHAnsi" w:hAnsiTheme="minorHAnsi" w:cstheme="minorBidi"/>
          <w:sz w:val="22"/>
          <w:szCs w:val="22"/>
          <w:lang w:val="nl-BE" w:eastAsia="en-US"/>
        </w:rPr>
        <w:lastRenderedPageBreak/>
        <w:t>de zwangerschap uit te dragen, bekijken we of we dit binnen de voorziening kunnen faciliteren. Indien dit niet mogelijk is, gaan we samen op zoek naar zorg(partners).</w:t>
      </w:r>
    </w:p>
    <w:p w:rsidR="00033E75" w:rsidRPr="00033E75" w:rsidRDefault="00033E75" w:rsidP="00033E75">
      <w:pPr>
        <w:jc w:val="both"/>
        <w:rPr>
          <w:rFonts w:asciiTheme="minorHAnsi" w:eastAsiaTheme="minorHAnsi" w:hAnsiTheme="minorHAnsi" w:cstheme="minorBidi"/>
          <w:sz w:val="22"/>
          <w:szCs w:val="22"/>
          <w:lang w:val="nl-BE" w:eastAsia="en-US"/>
        </w:rPr>
      </w:pPr>
    </w:p>
    <w:p w:rsidR="00033E75" w:rsidRPr="00033E75" w:rsidRDefault="00033E75" w:rsidP="00033E75">
      <w:pPr>
        <w:ind w:left="709" w:hanging="425"/>
        <w:jc w:val="both"/>
        <w:rPr>
          <w:rFonts w:asciiTheme="minorHAnsi" w:eastAsiaTheme="minorHAnsi" w:hAnsiTheme="minorHAnsi" w:cstheme="minorBidi"/>
          <w:b/>
          <w:color w:val="009999"/>
          <w:sz w:val="22"/>
          <w:szCs w:val="22"/>
          <w:lang w:val="nl-BE" w:eastAsia="en-US"/>
        </w:rPr>
      </w:pPr>
      <w:r w:rsidRPr="00033E75">
        <w:rPr>
          <w:rFonts w:asciiTheme="minorHAnsi" w:eastAsiaTheme="minorHAnsi" w:hAnsiTheme="minorHAnsi" w:cstheme="minorBidi"/>
          <w:b/>
          <w:color w:val="009999"/>
          <w:sz w:val="22"/>
          <w:szCs w:val="22"/>
          <w:lang w:val="nl-BE" w:eastAsia="en-US"/>
        </w:rPr>
        <w:t xml:space="preserve">6. </w:t>
      </w:r>
      <w:r>
        <w:rPr>
          <w:rFonts w:asciiTheme="minorHAnsi" w:eastAsiaTheme="minorHAnsi" w:hAnsiTheme="minorHAnsi" w:cstheme="minorBidi"/>
          <w:b/>
          <w:color w:val="009999"/>
          <w:sz w:val="22"/>
          <w:szCs w:val="22"/>
          <w:lang w:val="nl-BE" w:eastAsia="en-US"/>
        </w:rPr>
        <w:tab/>
      </w:r>
      <w:r w:rsidRPr="00033E75">
        <w:rPr>
          <w:rFonts w:asciiTheme="minorHAnsi" w:eastAsiaTheme="minorHAnsi" w:hAnsiTheme="minorHAnsi" w:cstheme="minorBidi"/>
          <w:b/>
          <w:color w:val="009999"/>
          <w:sz w:val="22"/>
          <w:szCs w:val="22"/>
          <w:lang w:val="nl-BE" w:eastAsia="en-US"/>
        </w:rPr>
        <w:t>Sterilisatie</w:t>
      </w:r>
    </w:p>
    <w:p w:rsidR="00033E75" w:rsidRDefault="00033E75" w:rsidP="00033E75">
      <w:pPr>
        <w:ind w:left="709"/>
        <w:jc w:val="both"/>
        <w:rPr>
          <w:rFonts w:asciiTheme="minorHAnsi" w:eastAsiaTheme="minorHAnsi" w:hAnsiTheme="minorHAnsi" w:cstheme="minorBidi"/>
          <w:sz w:val="22"/>
          <w:szCs w:val="22"/>
          <w:lang w:val="nl-BE" w:eastAsia="en-US"/>
        </w:rPr>
      </w:pPr>
    </w:p>
    <w:p w:rsidR="00033E75" w:rsidRPr="00033E75" w:rsidRDefault="00033E75" w:rsidP="00033E75">
      <w:pPr>
        <w:ind w:left="709"/>
        <w:jc w:val="both"/>
        <w:rPr>
          <w:rFonts w:asciiTheme="minorHAnsi" w:eastAsiaTheme="minorHAnsi" w:hAnsiTheme="minorHAnsi" w:cstheme="minorBidi"/>
          <w:sz w:val="22"/>
          <w:szCs w:val="22"/>
          <w:lang w:val="nl-BE" w:eastAsia="en-US"/>
        </w:rPr>
      </w:pPr>
      <w:r w:rsidRPr="00033E75">
        <w:rPr>
          <w:rFonts w:asciiTheme="minorHAnsi" w:eastAsiaTheme="minorHAnsi" w:hAnsiTheme="minorHAnsi" w:cstheme="minorBidi"/>
          <w:sz w:val="22"/>
          <w:szCs w:val="22"/>
          <w:lang w:val="nl-BE" w:eastAsia="en-US"/>
        </w:rPr>
        <w:t xml:space="preserve">Indien de cliënt zelf vraagt om sterilisatie, verwijzen we deze door naar een externe gespecialiseerde arts. We geven geen adviezen over sterilisatie naar de arts toe. Op vraag van wettelijk vertegenwoordiger of cliënt bezorgen we verslaggeving over het functioneren van de cliënt. </w:t>
      </w:r>
    </w:p>
    <w:p w:rsidR="00033E75" w:rsidRPr="00033E75" w:rsidRDefault="00033E75" w:rsidP="00033E75">
      <w:pPr>
        <w:jc w:val="both"/>
        <w:rPr>
          <w:rFonts w:asciiTheme="minorHAnsi" w:eastAsiaTheme="minorHAnsi" w:hAnsiTheme="minorHAnsi" w:cstheme="minorBidi"/>
          <w:sz w:val="22"/>
          <w:szCs w:val="22"/>
          <w:lang w:val="nl-BE" w:eastAsia="en-US"/>
        </w:rPr>
      </w:pPr>
    </w:p>
    <w:p w:rsidR="00033E75" w:rsidRPr="00033E75" w:rsidRDefault="00033E75" w:rsidP="00033E75">
      <w:pPr>
        <w:ind w:left="709" w:hanging="425"/>
        <w:jc w:val="both"/>
        <w:rPr>
          <w:rFonts w:asciiTheme="minorHAnsi" w:eastAsiaTheme="minorHAnsi" w:hAnsiTheme="minorHAnsi" w:cstheme="minorBidi"/>
          <w:b/>
          <w:color w:val="009999"/>
          <w:sz w:val="22"/>
          <w:szCs w:val="22"/>
          <w:lang w:val="nl-BE" w:eastAsia="en-US"/>
        </w:rPr>
      </w:pPr>
      <w:bookmarkStart w:id="3" w:name="_Hlk127891082"/>
      <w:r w:rsidRPr="00033E75">
        <w:rPr>
          <w:rFonts w:asciiTheme="minorHAnsi" w:eastAsiaTheme="minorHAnsi" w:hAnsiTheme="minorHAnsi" w:cstheme="minorBidi"/>
          <w:b/>
          <w:color w:val="009999"/>
          <w:sz w:val="22"/>
          <w:szCs w:val="22"/>
          <w:lang w:val="nl-BE" w:eastAsia="en-US"/>
        </w:rPr>
        <w:t xml:space="preserve">7. </w:t>
      </w:r>
      <w:r>
        <w:rPr>
          <w:rFonts w:asciiTheme="minorHAnsi" w:eastAsiaTheme="minorHAnsi" w:hAnsiTheme="minorHAnsi" w:cstheme="minorBidi"/>
          <w:b/>
          <w:color w:val="009999"/>
          <w:sz w:val="22"/>
          <w:szCs w:val="22"/>
          <w:lang w:val="nl-BE" w:eastAsia="en-US"/>
        </w:rPr>
        <w:tab/>
      </w:r>
      <w:r w:rsidRPr="00033E75">
        <w:rPr>
          <w:rFonts w:asciiTheme="minorHAnsi" w:eastAsiaTheme="minorHAnsi" w:hAnsiTheme="minorHAnsi" w:cstheme="minorBidi"/>
          <w:b/>
          <w:color w:val="009999"/>
          <w:sz w:val="22"/>
          <w:szCs w:val="22"/>
          <w:lang w:val="nl-BE" w:eastAsia="en-US"/>
        </w:rPr>
        <w:t xml:space="preserve">Houding van de begeleiding </w:t>
      </w:r>
    </w:p>
    <w:p w:rsidR="00033E75" w:rsidRPr="00033E75" w:rsidRDefault="00033E75" w:rsidP="00033E75">
      <w:pPr>
        <w:ind w:left="720"/>
        <w:contextualSpacing/>
        <w:jc w:val="both"/>
        <w:rPr>
          <w:rFonts w:asciiTheme="minorHAnsi" w:eastAsiaTheme="minorHAnsi" w:hAnsiTheme="minorHAnsi" w:cstheme="minorBidi"/>
          <w:sz w:val="22"/>
          <w:szCs w:val="22"/>
          <w:u w:val="single"/>
          <w:lang w:val="nl-BE" w:eastAsia="en-US"/>
        </w:rPr>
      </w:pPr>
    </w:p>
    <w:p w:rsidR="00033E75" w:rsidRPr="00033E75" w:rsidRDefault="00033E75" w:rsidP="00033E75">
      <w:pPr>
        <w:keepLines/>
        <w:ind w:left="709"/>
        <w:jc w:val="both"/>
        <w:rPr>
          <w:rFonts w:asciiTheme="minorHAnsi" w:hAnsiTheme="minorHAnsi" w:cstheme="minorHAnsi"/>
          <w:sz w:val="22"/>
          <w:szCs w:val="22"/>
        </w:rPr>
      </w:pPr>
      <w:r w:rsidRPr="00033E75">
        <w:rPr>
          <w:rFonts w:asciiTheme="minorHAnsi" w:hAnsiTheme="minorHAnsi" w:cstheme="minorHAnsi"/>
          <w:sz w:val="22"/>
          <w:szCs w:val="22"/>
        </w:rPr>
        <w:t>In onze begeleiding is er aandacht voor lichaamsbeleving, seksualiteit en relatievorming als een geïntegreerd onderdeel van de totale zorgverlening. De begeleider heeft hier primair een ondersteunende rol in. De begeleider let op signalen die mogelijks te maken hebben met seksualiteit en geeft erkenning voor deze signalen (</w:t>
      </w:r>
      <w:proofErr w:type="spellStart"/>
      <w:r w:rsidRPr="00033E75">
        <w:rPr>
          <w:rFonts w:asciiTheme="minorHAnsi" w:hAnsiTheme="minorHAnsi" w:cstheme="minorHAnsi"/>
          <w:sz w:val="22"/>
          <w:szCs w:val="22"/>
        </w:rPr>
        <w:t>Cornix</w:t>
      </w:r>
      <w:proofErr w:type="spellEnd"/>
      <w:r w:rsidRPr="00033E75">
        <w:rPr>
          <w:rFonts w:asciiTheme="minorHAnsi" w:hAnsiTheme="minorHAnsi" w:cstheme="minorHAnsi"/>
          <w:sz w:val="22"/>
          <w:szCs w:val="22"/>
        </w:rPr>
        <w:t xml:space="preserve"> et al., 2005). </w:t>
      </w:r>
    </w:p>
    <w:p w:rsidR="00033E75" w:rsidRPr="00033E75" w:rsidRDefault="00033E75" w:rsidP="00033E75">
      <w:pPr>
        <w:keepLines/>
        <w:ind w:left="709"/>
        <w:jc w:val="both"/>
        <w:rPr>
          <w:rFonts w:asciiTheme="minorHAnsi" w:hAnsiTheme="minorHAnsi" w:cstheme="minorHAnsi"/>
          <w:sz w:val="22"/>
          <w:szCs w:val="22"/>
        </w:rPr>
      </w:pPr>
      <w:r w:rsidRPr="00033E75">
        <w:rPr>
          <w:rFonts w:asciiTheme="minorHAnsi" w:hAnsiTheme="minorHAnsi" w:cstheme="minorHAnsi"/>
          <w:sz w:val="22"/>
          <w:szCs w:val="22"/>
        </w:rPr>
        <w:t>In de begeleiding staat de beleving van de cliënt centraal en niet het referentiekader van de begeleiding. Hierbij is het belangrijk om als begeleiding bij de eigen seksualiteit stil te staan en zich hiervan bewust te zijn. Wanneer men zich hiervan bewust is, staan de eigen waarden en normen minder in de weg om naar de verlangen en wensen van de cliënt te kijken (Bosch, 1995).</w:t>
      </w:r>
    </w:p>
    <w:p w:rsidR="00033E75" w:rsidRPr="00033E75" w:rsidRDefault="00033E75" w:rsidP="00033E75">
      <w:pPr>
        <w:keepLines/>
        <w:ind w:left="709"/>
        <w:jc w:val="both"/>
        <w:rPr>
          <w:rFonts w:asciiTheme="minorHAnsi" w:hAnsiTheme="minorHAnsi" w:cstheme="minorHAnsi"/>
          <w:sz w:val="22"/>
          <w:szCs w:val="22"/>
        </w:rPr>
      </w:pPr>
      <w:r w:rsidRPr="00033E75">
        <w:rPr>
          <w:rFonts w:asciiTheme="minorHAnsi" w:hAnsiTheme="minorHAnsi" w:cstheme="minorHAnsi"/>
          <w:sz w:val="22"/>
          <w:szCs w:val="22"/>
        </w:rPr>
        <w:t xml:space="preserve">Het is belangrijk om open te communiceren over seksualiteit en dit bespreekbaar te maken op teamvergaderingen. </w:t>
      </w:r>
    </w:p>
    <w:p w:rsidR="00033E75" w:rsidRPr="00033E75" w:rsidRDefault="00033E75" w:rsidP="00033E75">
      <w:pPr>
        <w:keepLines/>
        <w:ind w:left="709"/>
        <w:jc w:val="both"/>
        <w:rPr>
          <w:rFonts w:asciiTheme="minorHAnsi" w:hAnsiTheme="minorHAnsi" w:cstheme="minorHAnsi"/>
          <w:sz w:val="22"/>
          <w:szCs w:val="22"/>
          <w:lang w:val="nl-BE"/>
        </w:rPr>
      </w:pPr>
      <w:r w:rsidRPr="00033E75">
        <w:rPr>
          <w:rFonts w:asciiTheme="minorHAnsi" w:hAnsiTheme="minorHAnsi" w:cstheme="minorHAnsi"/>
          <w:sz w:val="22"/>
          <w:szCs w:val="22"/>
        </w:rPr>
        <w:t xml:space="preserve">Als begeleiding is het belangrijk om aandacht te hebben voor het evenwicht tussen afstand – nabijheid. Een professionele begeleidingsstijl is belangrijk waarbij oog is voor het recht op privacy van de cliënt. </w:t>
      </w:r>
    </w:p>
    <w:p w:rsidR="00033E75" w:rsidRPr="00033E75" w:rsidRDefault="00033E75" w:rsidP="00033E75">
      <w:pPr>
        <w:keepLines/>
        <w:jc w:val="both"/>
        <w:rPr>
          <w:rFonts w:asciiTheme="minorHAnsi" w:hAnsiTheme="minorHAnsi" w:cstheme="minorHAnsi"/>
          <w:color w:val="7030A0"/>
          <w:sz w:val="22"/>
          <w:szCs w:val="22"/>
        </w:rPr>
      </w:pPr>
    </w:p>
    <w:p w:rsidR="00033E75" w:rsidRPr="00033E75" w:rsidRDefault="00033E75" w:rsidP="00033E75">
      <w:pPr>
        <w:jc w:val="both"/>
        <w:rPr>
          <w:rFonts w:asciiTheme="minorHAnsi" w:hAnsiTheme="minorHAnsi" w:cstheme="minorHAnsi"/>
          <w:b/>
          <w:sz w:val="22"/>
          <w:szCs w:val="22"/>
        </w:rPr>
      </w:pPr>
      <w:r w:rsidRPr="00033E75">
        <w:rPr>
          <w:rFonts w:asciiTheme="minorHAnsi" w:hAnsiTheme="minorHAnsi" w:cstheme="minorHAnsi"/>
          <w:b/>
          <w:sz w:val="22"/>
          <w:szCs w:val="22"/>
        </w:rPr>
        <w:t>Literatuurlijst</w:t>
      </w:r>
    </w:p>
    <w:p w:rsidR="00033E75" w:rsidRPr="00033E75" w:rsidRDefault="00033E75" w:rsidP="00033E75">
      <w:pPr>
        <w:jc w:val="both"/>
        <w:rPr>
          <w:rFonts w:asciiTheme="minorHAnsi" w:hAnsiTheme="minorHAnsi" w:cstheme="minorHAnsi"/>
          <w:sz w:val="22"/>
          <w:szCs w:val="22"/>
        </w:rPr>
      </w:pPr>
    </w:p>
    <w:p w:rsidR="00033E75" w:rsidRPr="00033E75" w:rsidRDefault="00033E75" w:rsidP="00033E75">
      <w:pPr>
        <w:jc w:val="both"/>
        <w:rPr>
          <w:rFonts w:asciiTheme="minorHAnsi" w:hAnsiTheme="minorHAnsi" w:cstheme="minorHAnsi"/>
          <w:sz w:val="22"/>
          <w:szCs w:val="22"/>
        </w:rPr>
      </w:pPr>
      <w:r w:rsidRPr="00033E75">
        <w:rPr>
          <w:rFonts w:asciiTheme="minorHAnsi" w:hAnsiTheme="minorHAnsi" w:cstheme="minorHAnsi"/>
          <w:sz w:val="22"/>
          <w:szCs w:val="22"/>
        </w:rPr>
        <w:t xml:space="preserve">Bosch, E. (1995). </w:t>
      </w:r>
      <w:r w:rsidRPr="00033E75">
        <w:rPr>
          <w:rFonts w:asciiTheme="minorHAnsi" w:hAnsiTheme="minorHAnsi" w:cstheme="minorHAnsi"/>
          <w:i/>
          <w:sz w:val="22"/>
          <w:szCs w:val="22"/>
        </w:rPr>
        <w:t>Seksualiteit en relatievorming van mensen met een verstandelijke handicap. Een praktijk- en discussieboek.</w:t>
      </w:r>
      <w:r w:rsidRPr="00033E75">
        <w:rPr>
          <w:rFonts w:asciiTheme="minorHAnsi" w:hAnsiTheme="minorHAnsi" w:cstheme="minorHAnsi"/>
          <w:sz w:val="22"/>
          <w:szCs w:val="22"/>
        </w:rPr>
        <w:t xml:space="preserve"> Baarn: H. Nelissen.</w:t>
      </w:r>
    </w:p>
    <w:p w:rsidR="00033E75" w:rsidRPr="00033E75" w:rsidRDefault="00033E75" w:rsidP="00033E75">
      <w:pPr>
        <w:jc w:val="both"/>
        <w:rPr>
          <w:rFonts w:asciiTheme="minorHAnsi" w:hAnsiTheme="minorHAnsi" w:cstheme="minorHAnsi"/>
          <w:sz w:val="22"/>
          <w:szCs w:val="22"/>
        </w:rPr>
      </w:pPr>
    </w:p>
    <w:p w:rsidR="00033E75" w:rsidRPr="00033E75" w:rsidRDefault="00033E75" w:rsidP="00033E75">
      <w:pPr>
        <w:jc w:val="both"/>
        <w:rPr>
          <w:rFonts w:asciiTheme="minorHAnsi" w:hAnsiTheme="minorHAnsi" w:cstheme="minorHAnsi"/>
          <w:sz w:val="22"/>
          <w:szCs w:val="22"/>
          <w:lang w:val="nl-BE"/>
        </w:rPr>
      </w:pPr>
      <w:bookmarkStart w:id="4" w:name="_Hlk184294214"/>
      <w:r w:rsidRPr="00033E75">
        <w:rPr>
          <w:rFonts w:asciiTheme="minorHAnsi" w:hAnsiTheme="minorHAnsi" w:cstheme="minorHAnsi"/>
          <w:sz w:val="22"/>
          <w:szCs w:val="22"/>
          <w:lang w:val="nl-BE"/>
        </w:rPr>
        <w:t xml:space="preserve">Claes, L., De Neve, L., Declercq, K., </w:t>
      </w:r>
      <w:proofErr w:type="spellStart"/>
      <w:r w:rsidRPr="00033E75">
        <w:rPr>
          <w:rFonts w:asciiTheme="minorHAnsi" w:hAnsiTheme="minorHAnsi" w:cstheme="minorHAnsi"/>
          <w:sz w:val="22"/>
          <w:szCs w:val="22"/>
          <w:lang w:val="nl-BE"/>
        </w:rPr>
        <w:t>Jonckheere</w:t>
      </w:r>
      <w:proofErr w:type="spellEnd"/>
      <w:r w:rsidRPr="00033E75">
        <w:rPr>
          <w:rFonts w:asciiTheme="minorHAnsi" w:hAnsiTheme="minorHAnsi" w:cstheme="minorHAnsi"/>
          <w:sz w:val="22"/>
          <w:szCs w:val="22"/>
          <w:lang w:val="nl-BE"/>
        </w:rPr>
        <w:t xml:space="preserve">, B., </w:t>
      </w:r>
      <w:proofErr w:type="spellStart"/>
      <w:r w:rsidRPr="00033E75">
        <w:rPr>
          <w:rFonts w:asciiTheme="minorHAnsi" w:hAnsiTheme="minorHAnsi" w:cstheme="minorHAnsi"/>
          <w:sz w:val="22"/>
          <w:szCs w:val="22"/>
          <w:lang w:val="nl-BE"/>
        </w:rPr>
        <w:t>Marrecau</w:t>
      </w:r>
      <w:proofErr w:type="spellEnd"/>
      <w:r w:rsidRPr="00033E75">
        <w:rPr>
          <w:rFonts w:asciiTheme="minorHAnsi" w:hAnsiTheme="minorHAnsi" w:cstheme="minorHAnsi"/>
          <w:sz w:val="22"/>
          <w:szCs w:val="22"/>
          <w:lang w:val="nl-BE"/>
        </w:rPr>
        <w:t xml:space="preserve">, J., </w:t>
      </w:r>
      <w:proofErr w:type="spellStart"/>
      <w:r w:rsidRPr="00033E75">
        <w:rPr>
          <w:rFonts w:asciiTheme="minorHAnsi" w:hAnsiTheme="minorHAnsi" w:cstheme="minorHAnsi"/>
          <w:sz w:val="22"/>
          <w:szCs w:val="22"/>
          <w:lang w:val="nl-BE"/>
        </w:rPr>
        <w:t>Morisse</w:t>
      </w:r>
      <w:proofErr w:type="spellEnd"/>
      <w:r w:rsidRPr="00033E75">
        <w:rPr>
          <w:rFonts w:asciiTheme="minorHAnsi" w:hAnsiTheme="minorHAnsi" w:cstheme="minorHAnsi"/>
          <w:sz w:val="22"/>
          <w:szCs w:val="22"/>
          <w:lang w:val="nl-BE"/>
        </w:rPr>
        <w:t xml:space="preserve">, F., </w:t>
      </w:r>
      <w:proofErr w:type="spellStart"/>
      <w:r w:rsidRPr="00033E75">
        <w:rPr>
          <w:rFonts w:asciiTheme="minorHAnsi" w:hAnsiTheme="minorHAnsi" w:cstheme="minorHAnsi"/>
          <w:sz w:val="22"/>
          <w:szCs w:val="22"/>
          <w:lang w:val="nl-BE"/>
        </w:rPr>
        <w:t>Ronsse</w:t>
      </w:r>
      <w:proofErr w:type="spellEnd"/>
      <w:r w:rsidRPr="00033E75">
        <w:rPr>
          <w:rFonts w:asciiTheme="minorHAnsi" w:hAnsiTheme="minorHAnsi" w:cstheme="minorHAnsi"/>
          <w:sz w:val="22"/>
          <w:szCs w:val="22"/>
          <w:lang w:val="nl-BE"/>
        </w:rPr>
        <w:t xml:space="preserve">, E., </w:t>
      </w:r>
      <w:proofErr w:type="spellStart"/>
      <w:r w:rsidRPr="00033E75">
        <w:rPr>
          <w:rFonts w:asciiTheme="minorHAnsi" w:hAnsiTheme="minorHAnsi" w:cstheme="minorHAnsi"/>
          <w:sz w:val="22"/>
          <w:szCs w:val="22"/>
          <w:lang w:val="nl-BE"/>
        </w:rPr>
        <w:t>Vangansbeke</w:t>
      </w:r>
      <w:proofErr w:type="spellEnd"/>
      <w:r w:rsidRPr="00033E75">
        <w:rPr>
          <w:rFonts w:asciiTheme="minorHAnsi" w:hAnsiTheme="minorHAnsi" w:cstheme="minorHAnsi"/>
          <w:sz w:val="22"/>
          <w:szCs w:val="22"/>
          <w:lang w:val="nl-BE"/>
        </w:rPr>
        <w:t xml:space="preserve">, T. (2012). </w:t>
      </w:r>
      <w:r w:rsidRPr="00033E75">
        <w:rPr>
          <w:rFonts w:asciiTheme="minorHAnsi" w:hAnsiTheme="minorHAnsi" w:cstheme="minorHAnsi"/>
          <w:i/>
          <w:sz w:val="22"/>
          <w:szCs w:val="22"/>
          <w:lang w:val="nl-BE"/>
        </w:rPr>
        <w:t>Emotionele ontwikkeling bij mensen met een verstandelijke beperking.</w:t>
      </w:r>
      <w:r w:rsidRPr="00033E75">
        <w:rPr>
          <w:rFonts w:asciiTheme="minorHAnsi" w:hAnsiTheme="minorHAnsi" w:cstheme="minorHAnsi"/>
          <w:sz w:val="22"/>
          <w:szCs w:val="22"/>
          <w:lang w:val="nl-BE"/>
        </w:rPr>
        <w:t xml:space="preserve"> Garant.</w:t>
      </w:r>
    </w:p>
    <w:bookmarkEnd w:id="4"/>
    <w:p w:rsidR="00033E75" w:rsidRPr="00033E75" w:rsidRDefault="00033E75" w:rsidP="00033E75">
      <w:pPr>
        <w:jc w:val="both"/>
        <w:rPr>
          <w:rFonts w:asciiTheme="minorHAnsi" w:hAnsiTheme="minorHAnsi" w:cstheme="minorHAnsi"/>
          <w:sz w:val="22"/>
          <w:szCs w:val="22"/>
          <w:lang w:val="nl-BE"/>
        </w:rPr>
      </w:pPr>
    </w:p>
    <w:p w:rsidR="00033E75" w:rsidRPr="00033E75" w:rsidRDefault="00033E75" w:rsidP="00033E75">
      <w:pPr>
        <w:jc w:val="both"/>
        <w:rPr>
          <w:rFonts w:asciiTheme="minorHAnsi" w:hAnsiTheme="minorHAnsi" w:cstheme="minorHAnsi"/>
          <w:sz w:val="22"/>
          <w:szCs w:val="22"/>
        </w:rPr>
      </w:pPr>
      <w:proofErr w:type="spellStart"/>
      <w:r w:rsidRPr="00033E75">
        <w:rPr>
          <w:rFonts w:asciiTheme="minorHAnsi" w:hAnsiTheme="minorHAnsi" w:cstheme="minorHAnsi"/>
          <w:sz w:val="22"/>
          <w:szCs w:val="22"/>
          <w:lang w:val="nl-BE"/>
        </w:rPr>
        <w:t>Cornix</w:t>
      </w:r>
      <w:proofErr w:type="spellEnd"/>
      <w:r w:rsidRPr="00033E75">
        <w:rPr>
          <w:rFonts w:asciiTheme="minorHAnsi" w:hAnsiTheme="minorHAnsi" w:cstheme="minorHAnsi"/>
          <w:sz w:val="22"/>
          <w:szCs w:val="22"/>
          <w:lang w:val="nl-BE"/>
        </w:rPr>
        <w:t xml:space="preserve">, G., </w:t>
      </w:r>
      <w:proofErr w:type="spellStart"/>
      <w:r w:rsidRPr="00033E75">
        <w:rPr>
          <w:rFonts w:asciiTheme="minorHAnsi" w:hAnsiTheme="minorHAnsi" w:cstheme="minorHAnsi"/>
          <w:sz w:val="22"/>
          <w:szCs w:val="22"/>
          <w:lang w:val="nl-BE"/>
        </w:rPr>
        <w:t>Claerhout</w:t>
      </w:r>
      <w:proofErr w:type="spellEnd"/>
      <w:r w:rsidRPr="00033E75">
        <w:rPr>
          <w:rFonts w:asciiTheme="minorHAnsi" w:hAnsiTheme="minorHAnsi" w:cstheme="minorHAnsi"/>
          <w:sz w:val="22"/>
          <w:szCs w:val="22"/>
          <w:lang w:val="nl-BE"/>
        </w:rPr>
        <w:t xml:space="preserve">, H., &amp; </w:t>
      </w:r>
      <w:proofErr w:type="spellStart"/>
      <w:r w:rsidRPr="00033E75">
        <w:rPr>
          <w:rFonts w:asciiTheme="minorHAnsi" w:hAnsiTheme="minorHAnsi" w:cstheme="minorHAnsi"/>
          <w:sz w:val="22"/>
          <w:szCs w:val="22"/>
          <w:lang w:val="nl-BE"/>
        </w:rPr>
        <w:t>Ryckaert</w:t>
      </w:r>
      <w:proofErr w:type="spellEnd"/>
      <w:r w:rsidRPr="00033E75">
        <w:rPr>
          <w:rFonts w:asciiTheme="minorHAnsi" w:hAnsiTheme="minorHAnsi" w:cstheme="minorHAnsi"/>
          <w:sz w:val="22"/>
          <w:szCs w:val="22"/>
          <w:lang w:val="nl-BE"/>
        </w:rPr>
        <w:t xml:space="preserve">, A. (2005). </w:t>
      </w:r>
      <w:proofErr w:type="spellStart"/>
      <w:r w:rsidRPr="00033E75">
        <w:rPr>
          <w:rFonts w:asciiTheme="minorHAnsi" w:hAnsiTheme="minorHAnsi" w:cstheme="minorHAnsi"/>
          <w:i/>
          <w:sz w:val="22"/>
          <w:szCs w:val="22"/>
        </w:rPr>
        <w:t>Seks@relaties.kom</w:t>
      </w:r>
      <w:proofErr w:type="spellEnd"/>
      <w:r w:rsidRPr="00033E75">
        <w:rPr>
          <w:rFonts w:asciiTheme="minorHAnsi" w:hAnsiTheme="minorHAnsi" w:cstheme="minorHAnsi"/>
          <w:i/>
          <w:sz w:val="22"/>
          <w:szCs w:val="22"/>
        </w:rPr>
        <w:t>. Werkboek voor mensen met een verstandelijke beperking. Deel 1 seksualiteit.</w:t>
      </w:r>
      <w:r w:rsidRPr="00033E75">
        <w:rPr>
          <w:rFonts w:asciiTheme="minorHAnsi" w:hAnsiTheme="minorHAnsi" w:cstheme="minorHAnsi"/>
          <w:sz w:val="22"/>
          <w:szCs w:val="22"/>
        </w:rPr>
        <w:t xml:space="preserve"> Berchem: EPO.</w:t>
      </w:r>
    </w:p>
    <w:p w:rsidR="00033E75" w:rsidRPr="00033E75" w:rsidRDefault="00033E75" w:rsidP="00033E75">
      <w:pPr>
        <w:jc w:val="both"/>
        <w:rPr>
          <w:rFonts w:asciiTheme="minorHAnsi" w:hAnsiTheme="minorHAnsi" w:cstheme="minorHAnsi"/>
          <w:sz w:val="22"/>
          <w:szCs w:val="22"/>
        </w:rPr>
      </w:pPr>
    </w:p>
    <w:p w:rsidR="00033E75" w:rsidRPr="00033E75" w:rsidRDefault="00033E75" w:rsidP="00033E75">
      <w:pPr>
        <w:jc w:val="both"/>
        <w:rPr>
          <w:rFonts w:asciiTheme="minorHAnsi" w:hAnsiTheme="minorHAnsi" w:cstheme="minorHAnsi"/>
          <w:sz w:val="22"/>
          <w:szCs w:val="22"/>
        </w:rPr>
      </w:pPr>
      <w:bookmarkStart w:id="5" w:name="_Hlk184293396"/>
      <w:proofErr w:type="spellStart"/>
      <w:r w:rsidRPr="00033E75">
        <w:rPr>
          <w:rFonts w:asciiTheme="minorHAnsi" w:hAnsiTheme="minorHAnsi" w:cstheme="minorHAnsi"/>
          <w:sz w:val="22"/>
          <w:szCs w:val="22"/>
        </w:rPr>
        <w:t>Sensoa</w:t>
      </w:r>
      <w:proofErr w:type="spellEnd"/>
      <w:r w:rsidRPr="00033E75">
        <w:rPr>
          <w:rFonts w:asciiTheme="minorHAnsi" w:hAnsiTheme="minorHAnsi" w:cstheme="minorHAnsi"/>
          <w:sz w:val="22"/>
          <w:szCs w:val="22"/>
        </w:rPr>
        <w:t xml:space="preserve">. (2011). </w:t>
      </w:r>
      <w:r w:rsidRPr="00033E75">
        <w:rPr>
          <w:rFonts w:asciiTheme="minorHAnsi" w:hAnsiTheme="minorHAnsi" w:cstheme="minorHAnsi"/>
          <w:i/>
          <w:sz w:val="22"/>
          <w:szCs w:val="22"/>
        </w:rPr>
        <w:t>Vlaggensysteem: Praten met kinderen en jongeren over seks en seksueel grensoverschrijdend gedrag.</w:t>
      </w:r>
      <w:r w:rsidRPr="00033E75">
        <w:rPr>
          <w:rFonts w:asciiTheme="minorHAnsi" w:hAnsiTheme="minorHAnsi" w:cstheme="minorHAnsi"/>
          <w:sz w:val="22"/>
          <w:szCs w:val="22"/>
        </w:rPr>
        <w:t xml:space="preserve"> Garant.</w:t>
      </w:r>
    </w:p>
    <w:bookmarkEnd w:id="5"/>
    <w:p w:rsidR="00033E75" w:rsidRPr="00033E75" w:rsidRDefault="00033E75" w:rsidP="00033E75">
      <w:pPr>
        <w:jc w:val="both"/>
        <w:rPr>
          <w:rFonts w:asciiTheme="minorHAnsi" w:hAnsiTheme="minorHAnsi" w:cstheme="minorHAnsi"/>
          <w:sz w:val="22"/>
          <w:szCs w:val="22"/>
        </w:rPr>
      </w:pPr>
    </w:p>
    <w:p w:rsidR="00033E75" w:rsidRPr="00033E75" w:rsidRDefault="00033E75" w:rsidP="00033E75">
      <w:pPr>
        <w:jc w:val="both"/>
        <w:rPr>
          <w:rFonts w:asciiTheme="minorHAnsi" w:hAnsiTheme="minorHAnsi" w:cstheme="minorHAnsi"/>
          <w:sz w:val="22"/>
          <w:szCs w:val="22"/>
          <w:lang w:val="en-US"/>
        </w:rPr>
      </w:pPr>
      <w:r w:rsidRPr="00033E75">
        <w:rPr>
          <w:rFonts w:asciiTheme="minorHAnsi" w:hAnsiTheme="minorHAnsi" w:cstheme="minorHAnsi"/>
          <w:sz w:val="22"/>
          <w:szCs w:val="22"/>
        </w:rPr>
        <w:t xml:space="preserve">Vermeulen, G., Moens, B., &amp; De </w:t>
      </w:r>
      <w:proofErr w:type="spellStart"/>
      <w:r w:rsidRPr="00033E75">
        <w:rPr>
          <w:rFonts w:asciiTheme="minorHAnsi" w:hAnsiTheme="minorHAnsi" w:cstheme="minorHAnsi"/>
          <w:sz w:val="22"/>
          <w:szCs w:val="22"/>
        </w:rPr>
        <w:t>Busser</w:t>
      </w:r>
      <w:proofErr w:type="spellEnd"/>
      <w:r w:rsidRPr="00033E75">
        <w:rPr>
          <w:rFonts w:asciiTheme="minorHAnsi" w:hAnsiTheme="minorHAnsi" w:cstheme="minorHAnsi"/>
          <w:sz w:val="22"/>
          <w:szCs w:val="22"/>
        </w:rPr>
        <w:t xml:space="preserve">, E. (2007). </w:t>
      </w:r>
      <w:r w:rsidRPr="00033E75">
        <w:rPr>
          <w:rFonts w:asciiTheme="minorHAnsi" w:hAnsiTheme="minorHAnsi" w:cstheme="minorHAnsi"/>
          <w:i/>
          <w:sz w:val="22"/>
          <w:szCs w:val="22"/>
        </w:rPr>
        <w:t xml:space="preserve">Betaalseksrecht: naar regulering of legalisering van niet-problematische prostitutie? </w:t>
      </w:r>
      <w:proofErr w:type="spellStart"/>
      <w:r w:rsidRPr="00033E75">
        <w:rPr>
          <w:rFonts w:asciiTheme="minorHAnsi" w:hAnsiTheme="minorHAnsi" w:cstheme="minorHAnsi"/>
          <w:sz w:val="22"/>
          <w:szCs w:val="22"/>
          <w:lang w:val="en-US"/>
        </w:rPr>
        <w:t>Maklu</w:t>
      </w:r>
      <w:proofErr w:type="spellEnd"/>
      <w:r w:rsidRPr="00033E75">
        <w:rPr>
          <w:rFonts w:asciiTheme="minorHAnsi" w:hAnsiTheme="minorHAnsi" w:cstheme="minorHAnsi"/>
          <w:sz w:val="22"/>
          <w:szCs w:val="22"/>
          <w:lang w:val="en-US"/>
        </w:rPr>
        <w:t>.</w:t>
      </w:r>
    </w:p>
    <w:bookmarkEnd w:id="3"/>
    <w:p w:rsidR="00033E75" w:rsidRPr="00033E75" w:rsidRDefault="00033E75" w:rsidP="00033E75">
      <w:pPr>
        <w:jc w:val="both"/>
        <w:rPr>
          <w:rFonts w:asciiTheme="minorHAnsi" w:hAnsiTheme="minorHAnsi" w:cstheme="minorHAnsi"/>
          <w:sz w:val="22"/>
          <w:szCs w:val="22"/>
          <w:lang w:val="en-US"/>
        </w:rPr>
      </w:pPr>
    </w:p>
    <w:p w:rsidR="00033E75" w:rsidRPr="00033E75" w:rsidRDefault="00033E75" w:rsidP="00033E75">
      <w:pPr>
        <w:jc w:val="both"/>
        <w:rPr>
          <w:rFonts w:asciiTheme="minorHAnsi" w:hAnsiTheme="minorHAnsi" w:cstheme="minorHAnsi"/>
          <w:sz w:val="22"/>
          <w:szCs w:val="22"/>
          <w:lang w:val="en-US"/>
        </w:rPr>
      </w:pPr>
      <w:r w:rsidRPr="00033E75">
        <w:rPr>
          <w:rFonts w:asciiTheme="minorHAnsi" w:hAnsiTheme="minorHAnsi" w:cstheme="minorHAnsi"/>
          <w:iCs/>
          <w:sz w:val="22"/>
          <w:szCs w:val="22"/>
          <w:lang w:val="en-US"/>
        </w:rPr>
        <w:t xml:space="preserve">WHO (2010). </w:t>
      </w:r>
      <w:r w:rsidRPr="00033E75">
        <w:rPr>
          <w:rFonts w:asciiTheme="minorHAnsi" w:hAnsiTheme="minorHAnsi" w:cstheme="minorHAnsi"/>
          <w:i/>
          <w:iCs/>
          <w:sz w:val="22"/>
          <w:szCs w:val="22"/>
          <w:lang w:val="en-US"/>
        </w:rPr>
        <w:t>Standards for Sexuality Education in Europe. A framework for policy makers, educational and health authorities and specialists.</w:t>
      </w:r>
      <w:r w:rsidRPr="00033E75">
        <w:rPr>
          <w:rFonts w:asciiTheme="minorHAnsi" w:hAnsiTheme="minorHAnsi" w:cstheme="minorHAnsi"/>
          <w:iCs/>
          <w:sz w:val="22"/>
          <w:szCs w:val="22"/>
          <w:lang w:val="en-US"/>
        </w:rPr>
        <w:t xml:space="preserve"> </w:t>
      </w:r>
      <w:proofErr w:type="spellStart"/>
      <w:r w:rsidRPr="00033E75">
        <w:rPr>
          <w:rFonts w:asciiTheme="minorHAnsi" w:hAnsiTheme="minorHAnsi" w:cstheme="minorHAnsi"/>
          <w:iCs/>
          <w:sz w:val="22"/>
          <w:szCs w:val="22"/>
          <w:lang w:val="en-US"/>
        </w:rPr>
        <w:t>Keulen</w:t>
      </w:r>
      <w:proofErr w:type="spellEnd"/>
      <w:r w:rsidRPr="00033E75">
        <w:rPr>
          <w:rFonts w:asciiTheme="minorHAnsi" w:hAnsiTheme="minorHAnsi" w:cstheme="minorHAnsi"/>
          <w:iCs/>
          <w:sz w:val="22"/>
          <w:szCs w:val="22"/>
          <w:lang w:val="en-US"/>
        </w:rPr>
        <w:t xml:space="preserve">: WHO Regional Office for Europe and </w:t>
      </w:r>
      <w:proofErr w:type="spellStart"/>
      <w:r w:rsidRPr="00033E75">
        <w:rPr>
          <w:rFonts w:asciiTheme="minorHAnsi" w:hAnsiTheme="minorHAnsi" w:cstheme="minorHAnsi"/>
          <w:iCs/>
          <w:sz w:val="22"/>
          <w:szCs w:val="22"/>
          <w:lang w:val="en-US"/>
        </w:rPr>
        <w:t>BZgA</w:t>
      </w:r>
      <w:proofErr w:type="spellEnd"/>
      <w:r w:rsidRPr="00033E75">
        <w:rPr>
          <w:rFonts w:asciiTheme="minorHAnsi" w:hAnsiTheme="minorHAnsi" w:cstheme="minorHAnsi"/>
          <w:iCs/>
          <w:sz w:val="22"/>
          <w:szCs w:val="22"/>
          <w:lang w:val="en-US"/>
        </w:rPr>
        <w:t>.</w:t>
      </w:r>
    </w:p>
    <w:p w:rsidR="00B7083B" w:rsidRPr="00F10BA6" w:rsidRDefault="00B7083B" w:rsidP="00033E75">
      <w:pPr>
        <w:rPr>
          <w:rFonts w:ascii="Arial" w:hAnsi="Arial" w:cs="Arial"/>
          <w:sz w:val="22"/>
          <w:szCs w:val="22"/>
          <w:lang w:val="nl-BE"/>
        </w:rPr>
      </w:pPr>
    </w:p>
    <w:sectPr w:rsidR="00B7083B" w:rsidRPr="00F10BA6" w:rsidSect="007B57B2">
      <w:headerReference w:type="default" r:id="rId11"/>
      <w:footerReference w:type="default" r:id="rId12"/>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BBB" w:rsidRDefault="000A2BBB">
      <w:r>
        <w:separator/>
      </w:r>
    </w:p>
  </w:endnote>
  <w:endnote w:type="continuationSeparator" w:id="0">
    <w:p w:rsidR="000A2BBB" w:rsidRDefault="000A2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pio Condensed">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232144"/>
      <w:docPartObj>
        <w:docPartGallery w:val="Page Numbers (Bottom of Page)"/>
        <w:docPartUnique/>
      </w:docPartObj>
    </w:sdtPr>
    <w:sdtEndPr>
      <w:rPr>
        <w:rFonts w:asciiTheme="minorHAnsi" w:hAnsiTheme="minorHAnsi" w:cstheme="minorHAnsi"/>
      </w:rPr>
    </w:sdtEndPr>
    <w:sdtContent>
      <w:p w:rsidR="00035C43" w:rsidRPr="00033E75" w:rsidRDefault="00033E75" w:rsidP="00033E75">
        <w:pPr>
          <w:pStyle w:val="Voettekst"/>
          <w:jc w:val="right"/>
          <w:rPr>
            <w:rFonts w:asciiTheme="minorHAnsi" w:hAnsiTheme="minorHAnsi" w:cstheme="minorHAnsi"/>
          </w:rPr>
        </w:pPr>
        <w:r w:rsidRPr="00033E75">
          <w:rPr>
            <w:rFonts w:asciiTheme="minorHAnsi" w:hAnsiTheme="minorHAnsi" w:cstheme="minorHAnsi"/>
          </w:rPr>
          <w:fldChar w:fldCharType="begin"/>
        </w:r>
        <w:r w:rsidRPr="00033E75">
          <w:rPr>
            <w:rFonts w:asciiTheme="minorHAnsi" w:hAnsiTheme="minorHAnsi" w:cstheme="minorHAnsi"/>
          </w:rPr>
          <w:instrText>PAGE   \* MERGEFORMAT</w:instrText>
        </w:r>
        <w:r w:rsidRPr="00033E75">
          <w:rPr>
            <w:rFonts w:asciiTheme="minorHAnsi" w:hAnsiTheme="minorHAnsi" w:cstheme="minorHAnsi"/>
          </w:rPr>
          <w:fldChar w:fldCharType="separate"/>
        </w:r>
        <w:r w:rsidR="00C02F6C">
          <w:rPr>
            <w:rFonts w:asciiTheme="minorHAnsi" w:hAnsiTheme="minorHAnsi" w:cstheme="minorHAnsi"/>
            <w:noProof/>
          </w:rPr>
          <w:t>1</w:t>
        </w:r>
        <w:r w:rsidRPr="00033E7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BBB" w:rsidRDefault="000A2BBB">
      <w:r>
        <w:separator/>
      </w:r>
    </w:p>
  </w:footnote>
  <w:footnote w:type="continuationSeparator" w:id="0">
    <w:p w:rsidR="000A2BBB" w:rsidRDefault="000A2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0" w:type="dxa"/>
        <w:right w:w="70" w:type="dxa"/>
      </w:tblCellMar>
      <w:tblLook w:val="04A0" w:firstRow="1" w:lastRow="0" w:firstColumn="1" w:lastColumn="0" w:noHBand="0" w:noVBand="1"/>
    </w:tblPr>
    <w:tblGrid>
      <w:gridCol w:w="2869"/>
      <w:gridCol w:w="3399"/>
      <w:gridCol w:w="2305"/>
      <w:gridCol w:w="853"/>
    </w:tblGrid>
    <w:tr w:rsidR="00033E75" w:rsidTr="007A66EB">
      <w:tc>
        <w:tcPr>
          <w:tcW w:w="2869" w:type="dxa"/>
          <w:tcBorders>
            <w:top w:val="single" w:sz="4" w:space="0" w:color="BFBFBF"/>
            <w:left w:val="single" w:sz="4" w:space="0" w:color="BFBFBF"/>
            <w:bottom w:val="single" w:sz="4" w:space="0" w:color="BFBFBF"/>
            <w:right w:val="nil"/>
          </w:tcBorders>
          <w:shd w:val="clear" w:color="auto" w:fill="BFBFBF"/>
          <w:hideMark/>
        </w:tcPr>
        <w:p w:rsidR="00033E75" w:rsidRPr="007222F5" w:rsidRDefault="00033E75" w:rsidP="00033E75">
          <w:pPr>
            <w:pStyle w:val="Koptekst"/>
            <w:jc w:val="center"/>
            <w:rPr>
              <w:rFonts w:ascii="Calibri" w:hAnsi="Calibri"/>
              <w:b/>
              <w:noProof/>
              <w:sz w:val="22"/>
              <w:szCs w:val="22"/>
              <w:lang w:val="nl-BE" w:eastAsia="nl-BE"/>
            </w:rPr>
          </w:pPr>
          <w:r w:rsidRPr="007222F5">
            <w:rPr>
              <w:noProof/>
              <w:lang w:val="nl-BE" w:eastAsia="nl-BE"/>
            </w:rPr>
            <w:drawing>
              <wp:inline distT="0" distB="0" distL="0" distR="0">
                <wp:extent cx="1729740" cy="228600"/>
                <wp:effectExtent l="0" t="0" r="3810" b="0"/>
                <wp:docPr id="2" name="Afbeelding 2" descr="log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m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740" cy="228600"/>
                        </a:xfrm>
                        <a:prstGeom prst="rect">
                          <a:avLst/>
                        </a:prstGeom>
                        <a:noFill/>
                        <a:ln>
                          <a:noFill/>
                        </a:ln>
                      </pic:spPr>
                    </pic:pic>
                  </a:graphicData>
                </a:graphic>
              </wp:inline>
            </w:drawing>
          </w:r>
        </w:p>
      </w:tc>
      <w:tc>
        <w:tcPr>
          <w:tcW w:w="6557" w:type="dxa"/>
          <w:gridSpan w:val="3"/>
          <w:tcBorders>
            <w:top w:val="single" w:sz="4" w:space="0" w:color="BFBFBF"/>
            <w:left w:val="nil"/>
            <w:bottom w:val="single" w:sz="4" w:space="0" w:color="BFBFBF"/>
            <w:right w:val="single" w:sz="4" w:space="0" w:color="BFBFBF"/>
          </w:tcBorders>
          <w:shd w:val="clear" w:color="auto" w:fill="BFBFBF"/>
          <w:vAlign w:val="center"/>
          <w:hideMark/>
        </w:tcPr>
        <w:p w:rsidR="00033E75" w:rsidRDefault="00033E75" w:rsidP="00033E75">
          <w:pPr>
            <w:pStyle w:val="Koptekst"/>
            <w:tabs>
              <w:tab w:val="left" w:pos="1470"/>
            </w:tabs>
            <w:jc w:val="center"/>
            <w:rPr>
              <w:rStyle w:val="Paginanummer"/>
              <w:sz w:val="24"/>
              <w:szCs w:val="24"/>
            </w:rPr>
          </w:pPr>
          <w:r w:rsidRPr="007222F5">
            <w:rPr>
              <w:rStyle w:val="Paginanummer"/>
              <w:rFonts w:ascii="Calibri" w:hAnsi="Calibri"/>
              <w:b/>
              <w:sz w:val="24"/>
              <w:szCs w:val="24"/>
            </w:rPr>
            <w:t>KWALITEITSHANDBOEK</w:t>
          </w:r>
        </w:p>
      </w:tc>
    </w:tr>
    <w:tr w:rsidR="00033E75" w:rsidTr="007A66EB">
      <w:tc>
        <w:tcPr>
          <w:tcW w:w="6268" w:type="dxa"/>
          <w:gridSpan w:val="2"/>
          <w:tcBorders>
            <w:top w:val="single" w:sz="4" w:space="0" w:color="BFBFBF"/>
            <w:left w:val="single" w:sz="4" w:space="0" w:color="BFBFBF"/>
            <w:bottom w:val="single" w:sz="4" w:space="0" w:color="BFBFBF"/>
            <w:right w:val="single" w:sz="4" w:space="0" w:color="BFBFBF"/>
          </w:tcBorders>
          <w:shd w:val="clear" w:color="auto" w:fill="F2F2F2"/>
        </w:tcPr>
        <w:p w:rsidR="00033E75" w:rsidRDefault="00033E75" w:rsidP="00033E75">
          <w:pPr>
            <w:pStyle w:val="Koptekst"/>
            <w:rPr>
              <w:sz w:val="22"/>
              <w:szCs w:val="22"/>
            </w:rPr>
          </w:pPr>
        </w:p>
        <w:p w:rsidR="00033E75" w:rsidRPr="007222F5" w:rsidRDefault="00033E75" w:rsidP="00033E75">
          <w:pPr>
            <w:pStyle w:val="Koptekst"/>
            <w:rPr>
              <w:rFonts w:ascii="Calibri" w:hAnsi="Calibri"/>
              <w:b/>
              <w:sz w:val="22"/>
              <w:szCs w:val="22"/>
            </w:rPr>
          </w:pPr>
          <w:r>
            <w:rPr>
              <w:rFonts w:ascii="Calibri" w:hAnsi="Calibri"/>
              <w:b/>
              <w:sz w:val="22"/>
              <w:szCs w:val="22"/>
            </w:rPr>
            <w:t>Hoofdstuk 5</w:t>
          </w:r>
          <w:r w:rsidRPr="007222F5">
            <w:rPr>
              <w:rFonts w:ascii="Calibri" w:hAnsi="Calibri"/>
              <w:b/>
              <w:sz w:val="22"/>
              <w:szCs w:val="22"/>
            </w:rPr>
            <w:t xml:space="preserve">: </w:t>
          </w:r>
          <w:r>
            <w:rPr>
              <w:rFonts w:ascii="Calibri" w:hAnsi="Calibri"/>
              <w:b/>
              <w:sz w:val="22"/>
              <w:szCs w:val="22"/>
            </w:rPr>
            <w:t>Gebruikersgerichte processen</w:t>
          </w:r>
        </w:p>
        <w:p w:rsidR="00033E75" w:rsidRPr="007222F5" w:rsidRDefault="00033E75" w:rsidP="00033E75">
          <w:pPr>
            <w:pStyle w:val="Koptekst"/>
            <w:tabs>
              <w:tab w:val="left" w:pos="284"/>
            </w:tabs>
            <w:rPr>
              <w:rFonts w:ascii="Calibri" w:hAnsi="Calibri"/>
              <w:b/>
              <w:sz w:val="22"/>
              <w:szCs w:val="22"/>
            </w:rPr>
          </w:pPr>
          <w:r>
            <w:rPr>
              <w:rFonts w:ascii="Calibri" w:hAnsi="Calibri"/>
              <w:b/>
              <w:color w:val="008080"/>
              <w:sz w:val="22"/>
              <w:szCs w:val="22"/>
            </w:rPr>
            <w:tab/>
          </w:r>
          <w:r w:rsidRPr="007222F5">
            <w:rPr>
              <w:rFonts w:ascii="Calibri" w:hAnsi="Calibri"/>
              <w:b/>
              <w:sz w:val="22"/>
              <w:szCs w:val="22"/>
            </w:rPr>
            <w:t>Thema 6: Voorkomen, detecteren en reageren op GOG</w:t>
          </w:r>
        </w:p>
        <w:p w:rsidR="00033E75" w:rsidRPr="007222F5" w:rsidRDefault="00033E75" w:rsidP="00033E75">
          <w:pPr>
            <w:pStyle w:val="Koptekst"/>
            <w:tabs>
              <w:tab w:val="left" w:pos="284"/>
              <w:tab w:val="left" w:pos="567"/>
            </w:tabs>
            <w:rPr>
              <w:rFonts w:ascii="Calibri" w:hAnsi="Calibri"/>
              <w:b/>
              <w:sz w:val="22"/>
              <w:szCs w:val="22"/>
            </w:rPr>
          </w:pPr>
          <w:r>
            <w:rPr>
              <w:rFonts w:ascii="Calibri" w:hAnsi="Calibri"/>
              <w:b/>
              <w:color w:val="008080"/>
              <w:sz w:val="22"/>
              <w:szCs w:val="22"/>
            </w:rPr>
            <w:tab/>
          </w:r>
          <w:r>
            <w:rPr>
              <w:rFonts w:ascii="Calibri" w:hAnsi="Calibri"/>
              <w:b/>
              <w:color w:val="008080"/>
              <w:sz w:val="22"/>
              <w:szCs w:val="22"/>
            </w:rPr>
            <w:tab/>
          </w:r>
          <w:r>
            <w:rPr>
              <w:rFonts w:ascii="Calibri" w:hAnsi="Calibri"/>
              <w:b/>
              <w:sz w:val="22"/>
              <w:szCs w:val="22"/>
            </w:rPr>
            <w:t>Deel 2</w:t>
          </w:r>
          <w:r w:rsidRPr="007222F5">
            <w:rPr>
              <w:rFonts w:ascii="Calibri" w:hAnsi="Calibri"/>
              <w:b/>
              <w:sz w:val="22"/>
              <w:szCs w:val="22"/>
            </w:rPr>
            <w:t xml:space="preserve"> – </w:t>
          </w:r>
          <w:r>
            <w:rPr>
              <w:rFonts w:ascii="Calibri" w:hAnsi="Calibri"/>
              <w:b/>
              <w:sz w:val="22"/>
              <w:szCs w:val="22"/>
            </w:rPr>
            <w:t>relaties - seksualiteit</w:t>
          </w:r>
        </w:p>
        <w:p w:rsidR="00033E75" w:rsidRPr="007222F5" w:rsidRDefault="00033E75" w:rsidP="00033E75">
          <w:pPr>
            <w:pStyle w:val="Koptekst"/>
            <w:rPr>
              <w:rFonts w:ascii="Calibri" w:hAnsi="Calibri"/>
              <w:b/>
              <w:color w:val="008080"/>
              <w:sz w:val="22"/>
              <w:szCs w:val="22"/>
            </w:rPr>
          </w:pPr>
          <w:r w:rsidRPr="007222F5">
            <w:rPr>
              <w:rFonts w:ascii="Calibri" w:hAnsi="Calibri"/>
              <w:b/>
              <w:color w:val="008080"/>
              <w:sz w:val="22"/>
              <w:szCs w:val="22"/>
            </w:rPr>
            <w:t xml:space="preserve">Procedure </w:t>
          </w:r>
          <w:r>
            <w:rPr>
              <w:rFonts w:ascii="Calibri" w:hAnsi="Calibri"/>
              <w:b/>
              <w:color w:val="008080"/>
              <w:sz w:val="22"/>
              <w:szCs w:val="22"/>
            </w:rPr>
            <w:t xml:space="preserve">6: </w:t>
          </w:r>
          <w:r>
            <w:rPr>
              <w:rFonts w:ascii="Calibri" w:hAnsi="Calibri"/>
              <w:b/>
              <w:color w:val="008080"/>
              <w:sz w:val="22"/>
              <w:szCs w:val="22"/>
            </w:rPr>
            <w:t>Visie</w:t>
          </w:r>
        </w:p>
      </w:tc>
      <w:tc>
        <w:tcPr>
          <w:tcW w:w="2305" w:type="dxa"/>
          <w:tcBorders>
            <w:top w:val="single" w:sz="4" w:space="0" w:color="BFBFBF"/>
            <w:left w:val="single" w:sz="4" w:space="0" w:color="BFBFBF"/>
            <w:bottom w:val="single" w:sz="4" w:space="0" w:color="BFBFBF"/>
            <w:right w:val="single" w:sz="4" w:space="0" w:color="BFBFBF"/>
          </w:tcBorders>
          <w:shd w:val="clear" w:color="auto" w:fill="F2F2F2"/>
        </w:tcPr>
        <w:p w:rsidR="00033E75" w:rsidRPr="007222F5" w:rsidRDefault="00033E75" w:rsidP="00033E75">
          <w:pPr>
            <w:pStyle w:val="Koptekst"/>
            <w:rPr>
              <w:rFonts w:ascii="Calibri" w:hAnsi="Calibri"/>
              <w:b/>
              <w:sz w:val="22"/>
              <w:szCs w:val="22"/>
            </w:rPr>
          </w:pPr>
        </w:p>
        <w:p w:rsidR="00033E75" w:rsidRPr="007222F5" w:rsidRDefault="00033E75" w:rsidP="00033E75">
          <w:pPr>
            <w:pStyle w:val="Koptekst"/>
            <w:rPr>
              <w:rFonts w:ascii="Calibri" w:hAnsi="Calibri"/>
              <w:b/>
              <w:sz w:val="22"/>
              <w:szCs w:val="22"/>
            </w:rPr>
          </w:pPr>
          <w:r>
            <w:rPr>
              <w:rFonts w:ascii="Calibri" w:hAnsi="Calibri"/>
              <w:b/>
              <w:sz w:val="22"/>
              <w:szCs w:val="22"/>
            </w:rPr>
            <w:t>Versie 2025/</w:t>
          </w:r>
          <w:r w:rsidRPr="007222F5">
            <w:rPr>
              <w:rFonts w:ascii="Calibri" w:hAnsi="Calibri"/>
              <w:b/>
              <w:sz w:val="22"/>
              <w:szCs w:val="22"/>
            </w:rPr>
            <w:t>1</w:t>
          </w:r>
        </w:p>
        <w:p w:rsidR="00033E75" w:rsidRPr="007222F5" w:rsidRDefault="00033E75" w:rsidP="00033E75">
          <w:pPr>
            <w:pStyle w:val="Koptekst"/>
            <w:rPr>
              <w:rFonts w:ascii="Calibri" w:hAnsi="Calibri"/>
              <w:b/>
              <w:sz w:val="22"/>
              <w:szCs w:val="22"/>
            </w:rPr>
          </w:pPr>
          <w:r>
            <w:rPr>
              <w:rFonts w:ascii="Calibri" w:hAnsi="Calibri"/>
              <w:b/>
              <w:sz w:val="22"/>
              <w:szCs w:val="22"/>
            </w:rPr>
            <w:t>Kim Struyf</w:t>
          </w:r>
        </w:p>
        <w:p w:rsidR="00033E75" w:rsidRPr="007222F5" w:rsidRDefault="00033E75" w:rsidP="00033E75">
          <w:pPr>
            <w:pStyle w:val="Koptekst"/>
            <w:rPr>
              <w:rFonts w:ascii="Calibri" w:hAnsi="Calibri"/>
              <w:b/>
              <w:sz w:val="22"/>
              <w:szCs w:val="22"/>
            </w:rPr>
          </w:pPr>
          <w:r w:rsidRPr="007222F5">
            <w:rPr>
              <w:rFonts w:ascii="Calibri" w:hAnsi="Calibri"/>
              <w:b/>
              <w:sz w:val="22"/>
              <w:szCs w:val="22"/>
            </w:rPr>
            <w:t xml:space="preserve">Evaluatiefrequentie: </w:t>
          </w:r>
          <w:r>
            <w:rPr>
              <w:rFonts w:ascii="Calibri" w:hAnsi="Calibri"/>
              <w:b/>
              <w:sz w:val="22"/>
              <w:szCs w:val="22"/>
            </w:rPr>
            <w:t>2</w:t>
          </w:r>
        </w:p>
      </w:tc>
      <w:tc>
        <w:tcPr>
          <w:tcW w:w="853" w:type="dxa"/>
          <w:tcBorders>
            <w:top w:val="single" w:sz="4" w:space="0" w:color="BFBFBF"/>
            <w:left w:val="single" w:sz="4" w:space="0" w:color="BFBFBF"/>
            <w:bottom w:val="single" w:sz="4" w:space="0" w:color="BFBFBF"/>
            <w:right w:val="single" w:sz="4" w:space="0" w:color="BFBFBF"/>
          </w:tcBorders>
          <w:shd w:val="clear" w:color="auto" w:fill="F2F2F2"/>
        </w:tcPr>
        <w:p w:rsidR="00033E75" w:rsidRDefault="00033E75" w:rsidP="00033E75">
          <w:pPr>
            <w:pStyle w:val="Koptekst"/>
            <w:rPr>
              <w:rStyle w:val="Paginanummer"/>
            </w:rPr>
          </w:pPr>
        </w:p>
        <w:p w:rsidR="00033E75" w:rsidRDefault="00033E75" w:rsidP="00033E75">
          <w:pPr>
            <w:pStyle w:val="Koptekst"/>
          </w:pPr>
          <w:r w:rsidRPr="007222F5">
            <w:rPr>
              <w:rStyle w:val="Paginanummer"/>
              <w:rFonts w:ascii="Calibri" w:hAnsi="Calibri"/>
              <w:b/>
              <w:sz w:val="22"/>
              <w:szCs w:val="22"/>
            </w:rPr>
            <w:fldChar w:fldCharType="begin"/>
          </w:r>
          <w:r w:rsidRPr="007222F5">
            <w:rPr>
              <w:rStyle w:val="Paginanummer"/>
              <w:rFonts w:ascii="Calibri" w:hAnsi="Calibri"/>
              <w:b/>
              <w:sz w:val="22"/>
              <w:szCs w:val="22"/>
            </w:rPr>
            <w:instrText xml:space="preserve"> PAGE </w:instrText>
          </w:r>
          <w:r w:rsidRPr="007222F5">
            <w:rPr>
              <w:rStyle w:val="Paginanummer"/>
              <w:rFonts w:ascii="Calibri" w:hAnsi="Calibri"/>
              <w:b/>
              <w:sz w:val="22"/>
              <w:szCs w:val="22"/>
            </w:rPr>
            <w:fldChar w:fldCharType="separate"/>
          </w:r>
          <w:r w:rsidR="00C02F6C">
            <w:rPr>
              <w:rStyle w:val="Paginanummer"/>
              <w:rFonts w:ascii="Calibri" w:hAnsi="Calibri"/>
              <w:b/>
              <w:noProof/>
              <w:sz w:val="22"/>
              <w:szCs w:val="22"/>
            </w:rPr>
            <w:t>1</w:t>
          </w:r>
          <w:r w:rsidRPr="007222F5">
            <w:rPr>
              <w:rStyle w:val="Paginanummer"/>
              <w:rFonts w:ascii="Calibri" w:hAnsi="Calibri"/>
              <w:b/>
              <w:sz w:val="22"/>
              <w:szCs w:val="22"/>
            </w:rPr>
            <w:fldChar w:fldCharType="end"/>
          </w:r>
          <w:r w:rsidRPr="007222F5">
            <w:rPr>
              <w:rStyle w:val="Paginanummer"/>
              <w:rFonts w:ascii="Calibri" w:hAnsi="Calibri"/>
              <w:b/>
              <w:sz w:val="22"/>
              <w:szCs w:val="22"/>
            </w:rPr>
            <w:t>/</w:t>
          </w:r>
          <w:r w:rsidRPr="007222F5">
            <w:rPr>
              <w:rStyle w:val="Paginanummer"/>
              <w:rFonts w:ascii="Calibri" w:hAnsi="Calibri"/>
              <w:b/>
              <w:sz w:val="22"/>
              <w:szCs w:val="22"/>
            </w:rPr>
            <w:fldChar w:fldCharType="begin"/>
          </w:r>
          <w:r w:rsidRPr="007222F5">
            <w:rPr>
              <w:rStyle w:val="Paginanummer"/>
              <w:rFonts w:ascii="Calibri" w:hAnsi="Calibri"/>
              <w:b/>
              <w:sz w:val="22"/>
              <w:szCs w:val="22"/>
            </w:rPr>
            <w:instrText xml:space="preserve"> NUMPAGES </w:instrText>
          </w:r>
          <w:r w:rsidRPr="007222F5">
            <w:rPr>
              <w:rStyle w:val="Paginanummer"/>
              <w:rFonts w:ascii="Calibri" w:hAnsi="Calibri"/>
              <w:b/>
              <w:sz w:val="22"/>
              <w:szCs w:val="22"/>
            </w:rPr>
            <w:fldChar w:fldCharType="separate"/>
          </w:r>
          <w:r w:rsidR="00C02F6C">
            <w:rPr>
              <w:rStyle w:val="Paginanummer"/>
              <w:rFonts w:ascii="Calibri" w:hAnsi="Calibri"/>
              <w:b/>
              <w:noProof/>
              <w:sz w:val="22"/>
              <w:szCs w:val="22"/>
            </w:rPr>
            <w:t>4</w:t>
          </w:r>
          <w:r w:rsidRPr="007222F5">
            <w:rPr>
              <w:rStyle w:val="Paginanummer"/>
              <w:rFonts w:ascii="Calibri" w:hAnsi="Calibri"/>
              <w:b/>
              <w:sz w:val="22"/>
              <w:szCs w:val="22"/>
            </w:rPr>
            <w:fldChar w:fldCharType="end"/>
          </w:r>
        </w:p>
      </w:tc>
    </w:tr>
  </w:tbl>
  <w:p w:rsidR="004B59FE" w:rsidRDefault="004B59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077"/>
    <w:multiLevelType w:val="multilevel"/>
    <w:tmpl w:val="54A827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B8633F"/>
    <w:multiLevelType w:val="multilevel"/>
    <w:tmpl w:val="E2C0611E"/>
    <w:lvl w:ilvl="0">
      <w:start w:val="1"/>
      <w:numFmt w:val="upperRoman"/>
      <w:lvlText w:val="%1."/>
      <w:lvlJc w:val="left"/>
      <w:pPr>
        <w:tabs>
          <w:tab w:val="num" w:pos="720"/>
        </w:tabs>
        <w:ind w:left="720" w:hanging="720"/>
      </w:pPr>
      <w:rPr>
        <w:rFonts w:hint="default"/>
      </w:rPr>
    </w:lvl>
    <w:lvl w:ilvl="1">
      <w:start w:val="2"/>
      <w:numFmt w:val="decimal"/>
      <w:isLgl/>
      <w:lvlText w:val="%1.%2."/>
      <w:lvlJc w:val="left"/>
      <w:pPr>
        <w:tabs>
          <w:tab w:val="num" w:pos="390"/>
        </w:tabs>
        <w:ind w:left="390" w:hanging="390"/>
      </w:pPr>
      <w:rPr>
        <w:rFonts w:ascii="Verdana" w:hAnsi="Verdana" w:cs="Tahoma" w:hint="default"/>
        <w:color w:val="0000FF"/>
        <w:sz w:val="17"/>
        <w:u w:val="single"/>
      </w:rPr>
    </w:lvl>
    <w:lvl w:ilvl="2">
      <w:start w:val="1"/>
      <w:numFmt w:val="decimal"/>
      <w:isLgl/>
      <w:lvlText w:val="%1.%2.%3."/>
      <w:lvlJc w:val="left"/>
      <w:pPr>
        <w:tabs>
          <w:tab w:val="num" w:pos="720"/>
        </w:tabs>
        <w:ind w:left="720" w:hanging="720"/>
      </w:pPr>
      <w:rPr>
        <w:rFonts w:ascii="Verdana" w:hAnsi="Verdana" w:cs="Tahoma" w:hint="default"/>
        <w:color w:val="0000FF"/>
        <w:sz w:val="17"/>
        <w:u w:val="single"/>
      </w:rPr>
    </w:lvl>
    <w:lvl w:ilvl="3">
      <w:start w:val="1"/>
      <w:numFmt w:val="decimal"/>
      <w:isLgl/>
      <w:lvlText w:val="%1.%2.%3.%4."/>
      <w:lvlJc w:val="left"/>
      <w:pPr>
        <w:tabs>
          <w:tab w:val="num" w:pos="720"/>
        </w:tabs>
        <w:ind w:left="720" w:hanging="720"/>
      </w:pPr>
      <w:rPr>
        <w:rFonts w:ascii="Verdana" w:hAnsi="Verdana" w:cs="Tahoma" w:hint="default"/>
        <w:color w:val="0000FF"/>
        <w:sz w:val="17"/>
        <w:u w:val="single"/>
      </w:rPr>
    </w:lvl>
    <w:lvl w:ilvl="4">
      <w:start w:val="1"/>
      <w:numFmt w:val="decimal"/>
      <w:isLgl/>
      <w:lvlText w:val="%1.%2.%3.%4.%5."/>
      <w:lvlJc w:val="left"/>
      <w:pPr>
        <w:tabs>
          <w:tab w:val="num" w:pos="1080"/>
        </w:tabs>
        <w:ind w:left="1080" w:hanging="1080"/>
      </w:pPr>
      <w:rPr>
        <w:rFonts w:ascii="Verdana" w:hAnsi="Verdana" w:cs="Tahoma" w:hint="default"/>
        <w:color w:val="0000FF"/>
        <w:sz w:val="17"/>
        <w:u w:val="single"/>
      </w:rPr>
    </w:lvl>
    <w:lvl w:ilvl="5">
      <w:start w:val="1"/>
      <w:numFmt w:val="decimal"/>
      <w:isLgl/>
      <w:lvlText w:val="%1.%2.%3.%4.%5.%6."/>
      <w:lvlJc w:val="left"/>
      <w:pPr>
        <w:tabs>
          <w:tab w:val="num" w:pos="1080"/>
        </w:tabs>
        <w:ind w:left="1080" w:hanging="1080"/>
      </w:pPr>
      <w:rPr>
        <w:rFonts w:ascii="Verdana" w:hAnsi="Verdana" w:cs="Tahoma" w:hint="default"/>
        <w:color w:val="0000FF"/>
        <w:sz w:val="17"/>
        <w:u w:val="single"/>
      </w:rPr>
    </w:lvl>
    <w:lvl w:ilvl="6">
      <w:start w:val="1"/>
      <w:numFmt w:val="decimal"/>
      <w:isLgl/>
      <w:lvlText w:val="%1.%2.%3.%4.%5.%6.%7."/>
      <w:lvlJc w:val="left"/>
      <w:pPr>
        <w:tabs>
          <w:tab w:val="num" w:pos="1440"/>
        </w:tabs>
        <w:ind w:left="1440" w:hanging="1440"/>
      </w:pPr>
      <w:rPr>
        <w:rFonts w:ascii="Verdana" w:hAnsi="Verdana" w:cs="Tahoma" w:hint="default"/>
        <w:color w:val="0000FF"/>
        <w:sz w:val="17"/>
        <w:u w:val="single"/>
      </w:rPr>
    </w:lvl>
    <w:lvl w:ilvl="7">
      <w:start w:val="1"/>
      <w:numFmt w:val="decimal"/>
      <w:isLgl/>
      <w:lvlText w:val="%1.%2.%3.%4.%5.%6.%7.%8."/>
      <w:lvlJc w:val="left"/>
      <w:pPr>
        <w:tabs>
          <w:tab w:val="num" w:pos="1440"/>
        </w:tabs>
        <w:ind w:left="1440" w:hanging="1440"/>
      </w:pPr>
      <w:rPr>
        <w:rFonts w:ascii="Verdana" w:hAnsi="Verdana" w:cs="Tahoma" w:hint="default"/>
        <w:color w:val="0000FF"/>
        <w:sz w:val="17"/>
        <w:u w:val="single"/>
      </w:rPr>
    </w:lvl>
    <w:lvl w:ilvl="8">
      <w:start w:val="1"/>
      <w:numFmt w:val="decimal"/>
      <w:isLgl/>
      <w:lvlText w:val="%1.%2.%3.%4.%5.%6.%7.%8.%9."/>
      <w:lvlJc w:val="left"/>
      <w:pPr>
        <w:tabs>
          <w:tab w:val="num" w:pos="1800"/>
        </w:tabs>
        <w:ind w:left="1800" w:hanging="1800"/>
      </w:pPr>
      <w:rPr>
        <w:rFonts w:ascii="Verdana" w:hAnsi="Verdana" w:cs="Tahoma" w:hint="default"/>
        <w:color w:val="0000FF"/>
        <w:sz w:val="17"/>
        <w:u w:val="single"/>
      </w:rPr>
    </w:lvl>
  </w:abstractNum>
  <w:abstractNum w:abstractNumId="2" w15:restartNumberingAfterBreak="0">
    <w:nsid w:val="1F455D5E"/>
    <w:multiLevelType w:val="hybridMultilevel"/>
    <w:tmpl w:val="5D7E4830"/>
    <w:lvl w:ilvl="0" w:tplc="8B500A74">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3FD4970"/>
    <w:multiLevelType w:val="multilevel"/>
    <w:tmpl w:val="54A827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725073"/>
    <w:multiLevelType w:val="singleLevel"/>
    <w:tmpl w:val="3F4CC280"/>
    <w:lvl w:ilvl="0">
      <w:start w:val="2"/>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396F0A87"/>
    <w:multiLevelType w:val="singleLevel"/>
    <w:tmpl w:val="F9EA3DC0"/>
    <w:lvl w:ilvl="0">
      <w:start w:val="2"/>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44F949B7"/>
    <w:multiLevelType w:val="hybridMultilevel"/>
    <w:tmpl w:val="423427B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53176F2C"/>
    <w:multiLevelType w:val="hybridMultilevel"/>
    <w:tmpl w:val="F76C6D9E"/>
    <w:lvl w:ilvl="0" w:tplc="C4B04264">
      <w:start w:val="1"/>
      <w:numFmt w:val="decimal"/>
      <w:lvlText w:val="%1."/>
      <w:lvlJc w:val="left"/>
      <w:pPr>
        <w:ind w:left="720" w:hanging="360"/>
      </w:pPr>
      <w:rPr>
        <w:rFonts w:hint="default"/>
        <w:b/>
        <w:color w:val="009999"/>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5CC36D2D"/>
    <w:multiLevelType w:val="hybridMultilevel"/>
    <w:tmpl w:val="647699D4"/>
    <w:lvl w:ilvl="0" w:tplc="86D29AF2">
      <w:start w:val="1"/>
      <w:numFmt w:val="bullet"/>
      <w:lvlText w:val="-"/>
      <w:lvlJc w:val="left"/>
      <w:pPr>
        <w:ind w:left="720" w:hanging="360"/>
      </w:pPr>
      <w:rPr>
        <w:rFonts w:ascii="Arial" w:eastAsia="Calibri" w:hAnsi="Arial" w:cs="Arial" w:hint="default"/>
      </w:rPr>
    </w:lvl>
    <w:lvl w:ilvl="1" w:tplc="BC7ED986">
      <w:start w:val="1"/>
      <w:numFmt w:val="bullet"/>
      <w:lvlText w:val="o"/>
      <w:lvlJc w:val="left"/>
      <w:pPr>
        <w:ind w:left="1440" w:hanging="360"/>
      </w:pPr>
      <w:rPr>
        <w:rFonts w:ascii="Courier New" w:hAnsi="Courier New" w:cs="Courier New" w:hint="default"/>
        <w:color w:val="auto"/>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0112869"/>
    <w:multiLevelType w:val="hybridMultilevel"/>
    <w:tmpl w:val="9A3ECC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81A076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8F13FEF"/>
    <w:multiLevelType w:val="multilevel"/>
    <w:tmpl w:val="54A827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F73192"/>
    <w:multiLevelType w:val="hybridMultilevel"/>
    <w:tmpl w:val="C92E81A2"/>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7CF7742E"/>
    <w:multiLevelType w:val="multilevel"/>
    <w:tmpl w:val="54A827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0"/>
  </w:num>
  <w:num w:numId="3">
    <w:abstractNumId w:val="4"/>
  </w:num>
  <w:num w:numId="4">
    <w:abstractNumId w:val="5"/>
  </w:num>
  <w:num w:numId="5">
    <w:abstractNumId w:val="6"/>
  </w:num>
  <w:num w:numId="6">
    <w:abstractNumId w:val="8"/>
  </w:num>
  <w:num w:numId="7">
    <w:abstractNumId w:val="13"/>
  </w:num>
  <w:num w:numId="8">
    <w:abstractNumId w:val="12"/>
  </w:num>
  <w:num w:numId="9">
    <w:abstractNumId w:val="11"/>
  </w:num>
  <w:num w:numId="10">
    <w:abstractNumId w:val="0"/>
  </w:num>
  <w:num w:numId="11">
    <w:abstractNumId w:val="3"/>
  </w:num>
  <w:num w:numId="12">
    <w:abstractNumId w:val="9"/>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4D6"/>
    <w:rsid w:val="00033E75"/>
    <w:rsid w:val="00035C43"/>
    <w:rsid w:val="000A2BBB"/>
    <w:rsid w:val="001E4417"/>
    <w:rsid w:val="001F30D7"/>
    <w:rsid w:val="0026419A"/>
    <w:rsid w:val="00266507"/>
    <w:rsid w:val="00293358"/>
    <w:rsid w:val="002A6D27"/>
    <w:rsid w:val="002C0CB7"/>
    <w:rsid w:val="0044347C"/>
    <w:rsid w:val="00464838"/>
    <w:rsid w:val="00475FCF"/>
    <w:rsid w:val="00487D2A"/>
    <w:rsid w:val="004B4028"/>
    <w:rsid w:val="004B59FE"/>
    <w:rsid w:val="004C3A52"/>
    <w:rsid w:val="00516FDA"/>
    <w:rsid w:val="00530F22"/>
    <w:rsid w:val="005629BB"/>
    <w:rsid w:val="00580C15"/>
    <w:rsid w:val="006B04B0"/>
    <w:rsid w:val="00702FB6"/>
    <w:rsid w:val="007144D6"/>
    <w:rsid w:val="00743B3B"/>
    <w:rsid w:val="00755475"/>
    <w:rsid w:val="00766AEE"/>
    <w:rsid w:val="007A2C32"/>
    <w:rsid w:val="007B57B2"/>
    <w:rsid w:val="007D6E30"/>
    <w:rsid w:val="007F6AC3"/>
    <w:rsid w:val="00872F31"/>
    <w:rsid w:val="008C5DE8"/>
    <w:rsid w:val="00967217"/>
    <w:rsid w:val="009B7B4A"/>
    <w:rsid w:val="00AA649B"/>
    <w:rsid w:val="00B50953"/>
    <w:rsid w:val="00B7083B"/>
    <w:rsid w:val="00B75EB8"/>
    <w:rsid w:val="00BF3CBE"/>
    <w:rsid w:val="00C02F6C"/>
    <w:rsid w:val="00C60B82"/>
    <w:rsid w:val="00C752EA"/>
    <w:rsid w:val="00C81101"/>
    <w:rsid w:val="00CE687E"/>
    <w:rsid w:val="00D4799D"/>
    <w:rsid w:val="00DD6198"/>
    <w:rsid w:val="00E321D3"/>
    <w:rsid w:val="00F10BA6"/>
    <w:rsid w:val="00F53E54"/>
    <w:rsid w:val="00F9048F"/>
    <w:rsid w:val="00FC332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419C886D"/>
  <w15:chartTrackingRefBased/>
  <w15:docId w15:val="{705C0B5A-ED69-4432-81A4-FFC0F390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Mpio Condensed" w:hAnsi="Mpio Condensed"/>
      <w:lang w:val="nl-NL" w:eastAsia="nl-NL"/>
    </w:rPr>
  </w:style>
  <w:style w:type="paragraph" w:styleId="Kop1">
    <w:name w:val="heading 1"/>
    <w:basedOn w:val="Standaard"/>
    <w:next w:val="Standaard"/>
    <w:link w:val="Kop1Char"/>
    <w:qFormat/>
    <w:rsid w:val="00033E7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4">
    <w:name w:val="heading 4"/>
    <w:basedOn w:val="Standaard"/>
    <w:next w:val="Standaard"/>
    <w:qFormat/>
    <w:rsid w:val="004B59FE"/>
    <w:pPr>
      <w:keepNext/>
      <w:pBdr>
        <w:top w:val="single" w:sz="4" w:space="1" w:color="auto"/>
        <w:left w:val="single" w:sz="4" w:space="4" w:color="auto"/>
        <w:bottom w:val="single" w:sz="4" w:space="1" w:color="auto"/>
        <w:right w:val="single" w:sz="4" w:space="4" w:color="auto"/>
      </w:pBdr>
      <w:ind w:right="2705"/>
      <w:outlineLvl w:val="3"/>
    </w:pPr>
    <w:rPr>
      <w:rFonts w:ascii="Times New Roman" w:hAnsi="Times New Roman"/>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rsid w:val="00B7083B"/>
    <w:rPr>
      <w:rFonts w:ascii="Courier New" w:hAnsi="Courier New" w:cs="Courier New"/>
    </w:rPr>
  </w:style>
  <w:style w:type="paragraph" w:styleId="Voetnoottekst">
    <w:name w:val="footnote text"/>
    <w:basedOn w:val="Standaard"/>
    <w:semiHidden/>
    <w:rsid w:val="00B7083B"/>
  </w:style>
  <w:style w:type="character" w:styleId="Voetnootmarkering">
    <w:name w:val="footnote reference"/>
    <w:semiHidden/>
    <w:rsid w:val="00B7083B"/>
    <w:rPr>
      <w:vertAlign w:val="superscript"/>
    </w:rPr>
  </w:style>
  <w:style w:type="paragraph" w:styleId="Koptekst">
    <w:name w:val="header"/>
    <w:basedOn w:val="Standaard"/>
    <w:link w:val="KoptekstChar"/>
    <w:rsid w:val="004B59FE"/>
    <w:pPr>
      <w:tabs>
        <w:tab w:val="center" w:pos="4703"/>
        <w:tab w:val="right" w:pos="9406"/>
      </w:tabs>
    </w:pPr>
  </w:style>
  <w:style w:type="paragraph" w:styleId="Voettekst">
    <w:name w:val="footer"/>
    <w:basedOn w:val="Standaard"/>
    <w:link w:val="VoettekstChar"/>
    <w:uiPriority w:val="99"/>
    <w:rsid w:val="004B59FE"/>
    <w:pPr>
      <w:tabs>
        <w:tab w:val="center" w:pos="4703"/>
        <w:tab w:val="right" w:pos="9406"/>
      </w:tabs>
    </w:pPr>
  </w:style>
  <w:style w:type="character" w:styleId="Paginanummer">
    <w:name w:val="page number"/>
    <w:basedOn w:val="Standaardalinea-lettertype"/>
    <w:rsid w:val="004B59FE"/>
  </w:style>
  <w:style w:type="table" w:styleId="Tabelraster">
    <w:name w:val="Table Grid"/>
    <w:basedOn w:val="Standaardtabel"/>
    <w:uiPriority w:val="59"/>
    <w:rsid w:val="004B5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B59FE"/>
    <w:rPr>
      <w:color w:val="0000FF"/>
      <w:u w:val="single"/>
    </w:rPr>
  </w:style>
  <w:style w:type="paragraph" w:styleId="Plattetekst3">
    <w:name w:val="Body Text 3"/>
    <w:basedOn w:val="Standaard"/>
    <w:rsid w:val="004B59FE"/>
    <w:rPr>
      <w:rFonts w:ascii="Arial" w:hAnsi="Arial"/>
    </w:rPr>
  </w:style>
  <w:style w:type="paragraph" w:styleId="Plattetekst">
    <w:name w:val="Body Text"/>
    <w:basedOn w:val="Standaard"/>
    <w:rsid w:val="004B59FE"/>
    <w:pPr>
      <w:spacing w:after="120"/>
    </w:pPr>
  </w:style>
  <w:style w:type="paragraph" w:styleId="Plattetekstinspringen">
    <w:name w:val="Body Text Indent"/>
    <w:basedOn w:val="Standaard"/>
    <w:rsid w:val="004B59FE"/>
    <w:pPr>
      <w:spacing w:after="120"/>
      <w:ind w:left="283"/>
    </w:pPr>
  </w:style>
  <w:style w:type="paragraph" w:styleId="Revisie">
    <w:name w:val="Revision"/>
    <w:hidden/>
    <w:uiPriority w:val="99"/>
    <w:semiHidden/>
    <w:rsid w:val="00530F22"/>
    <w:rPr>
      <w:rFonts w:ascii="Mpio Condensed" w:hAnsi="Mpio Condensed"/>
      <w:lang w:val="nl-NL" w:eastAsia="nl-NL"/>
    </w:rPr>
  </w:style>
  <w:style w:type="paragraph" w:styleId="Ballontekst">
    <w:name w:val="Balloon Text"/>
    <w:basedOn w:val="Standaard"/>
    <w:link w:val="BallontekstChar"/>
    <w:rsid w:val="00530F22"/>
    <w:rPr>
      <w:rFonts w:ascii="Tahoma" w:hAnsi="Tahoma" w:cs="Tahoma"/>
      <w:sz w:val="16"/>
      <w:szCs w:val="16"/>
    </w:rPr>
  </w:style>
  <w:style w:type="character" w:customStyle="1" w:styleId="BallontekstChar">
    <w:name w:val="Ballontekst Char"/>
    <w:link w:val="Ballontekst"/>
    <w:rsid w:val="00530F22"/>
    <w:rPr>
      <w:rFonts w:ascii="Tahoma" w:hAnsi="Tahoma" w:cs="Tahoma"/>
      <w:sz w:val="16"/>
      <w:szCs w:val="16"/>
      <w:lang w:val="nl-NL" w:eastAsia="nl-NL"/>
    </w:rPr>
  </w:style>
  <w:style w:type="paragraph" w:styleId="Lijstalinea">
    <w:name w:val="List Paragraph"/>
    <w:basedOn w:val="Standaard"/>
    <w:uiPriority w:val="34"/>
    <w:qFormat/>
    <w:rsid w:val="00CE687E"/>
    <w:pPr>
      <w:spacing w:after="160" w:line="259" w:lineRule="auto"/>
      <w:ind w:left="720"/>
      <w:contextualSpacing/>
    </w:pPr>
    <w:rPr>
      <w:rFonts w:asciiTheme="minorHAnsi" w:eastAsiaTheme="minorHAnsi" w:hAnsiTheme="minorHAnsi" w:cstheme="minorBidi"/>
      <w:sz w:val="22"/>
      <w:szCs w:val="22"/>
      <w:lang w:val="nl-BE" w:eastAsia="en-US"/>
    </w:rPr>
  </w:style>
  <w:style w:type="character" w:customStyle="1" w:styleId="KoptekstChar">
    <w:name w:val="Koptekst Char"/>
    <w:link w:val="Koptekst"/>
    <w:rsid w:val="00033E75"/>
    <w:rPr>
      <w:rFonts w:ascii="Mpio Condensed" w:hAnsi="Mpio Condensed"/>
      <w:lang w:val="nl-NL" w:eastAsia="nl-NL"/>
    </w:rPr>
  </w:style>
  <w:style w:type="character" w:customStyle="1" w:styleId="TekstzonderopmaakChar">
    <w:name w:val="Tekst zonder opmaak Char"/>
    <w:link w:val="Tekstzonderopmaak"/>
    <w:rsid w:val="00033E75"/>
    <w:rPr>
      <w:rFonts w:ascii="Courier New" w:hAnsi="Courier New" w:cs="Courier New"/>
      <w:lang w:val="nl-NL" w:eastAsia="nl-NL"/>
    </w:rPr>
  </w:style>
  <w:style w:type="character" w:customStyle="1" w:styleId="Kop1Char">
    <w:name w:val="Kop 1 Char"/>
    <w:basedOn w:val="Standaardalinea-lettertype"/>
    <w:link w:val="Kop1"/>
    <w:rsid w:val="00033E75"/>
    <w:rPr>
      <w:rFonts w:asciiTheme="majorHAnsi" w:eastAsiaTheme="majorEastAsia" w:hAnsiTheme="majorHAnsi" w:cstheme="majorBidi"/>
      <w:color w:val="2E74B5" w:themeColor="accent1" w:themeShade="BF"/>
      <w:sz w:val="32"/>
      <w:szCs w:val="32"/>
      <w:lang w:val="nl-NL" w:eastAsia="nl-NL"/>
    </w:rPr>
  </w:style>
  <w:style w:type="character" w:customStyle="1" w:styleId="VoettekstChar">
    <w:name w:val="Voettekst Char"/>
    <w:basedOn w:val="Standaardalinea-lettertype"/>
    <w:link w:val="Voettekst"/>
    <w:uiPriority w:val="99"/>
    <w:rsid w:val="00033E75"/>
    <w:rPr>
      <w:rFonts w:ascii="Mpio Condensed" w:hAnsi="Mpio Condensed"/>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B9AB34E81B874699949610A30115E7" ma:contentTypeVersion="0" ma:contentTypeDescription="Een nieuw document maken." ma:contentTypeScope="" ma:versionID="f9bcbe1459af06b16359aa54455fa704">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6623F-7380-4031-9CD4-131C8766BEA8}">
  <ds:schemaRefs>
    <ds:schemaRef ds:uri="http://schemas.microsoft.com/sharepoint/v3/contenttype/forms"/>
  </ds:schemaRefs>
</ds:datastoreItem>
</file>

<file path=customXml/itemProps2.xml><?xml version="1.0" encoding="utf-8"?>
<ds:datastoreItem xmlns:ds="http://schemas.openxmlformats.org/officeDocument/2006/customXml" ds:itemID="{AE815511-2F5E-4CA2-BF90-FEFCC2D53E0D}">
  <ds:schemaRefs>
    <ds:schemaRef ds:uri="http://schemas.microsoft.com/office/2006/documentManagement/types"/>
    <ds:schemaRef ds:uri="http://schemas.microsoft.com/office/2006/metadata/properties"/>
    <ds:schemaRef ds:uri="http://www.w3.org/XML/1998/namespace"/>
    <ds:schemaRef ds:uri="http://purl.org/dc/terms/"/>
    <ds:schemaRef ds:uri="http://purl.org/dc/elements/1.1/"/>
    <ds:schemaRef ds:uri="http://purl.org/dc/dcmitype/"/>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053F0DE8-B446-44EB-B857-033FE69BE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D040203-9C4C-4C72-8111-F334840B9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1659</Words>
  <Characters>9616</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Deel 1 Agressiebeleid</vt:lpstr>
    </vt:vector>
  </TitlesOfParts>
  <Company>MPI Oosterlo</Company>
  <LinksUpToDate>false</LinksUpToDate>
  <CharactersWithSpaces>11253</CharactersWithSpaces>
  <SharedDoc>false</SharedDoc>
  <HLinks>
    <vt:vector size="84" baseType="variant">
      <vt:variant>
        <vt:i4>524365</vt:i4>
      </vt:variant>
      <vt:variant>
        <vt:i4>39</vt:i4>
      </vt:variant>
      <vt:variant>
        <vt:i4>0</vt:i4>
      </vt:variant>
      <vt:variant>
        <vt:i4>5</vt:i4>
      </vt:variant>
      <vt:variant>
        <vt:lpwstr>http://mpi-dnn/DotNetNuke/LinkClick.aspx?link=KHB%2fDienstverlening%2fProcedures%2fRelatievorming+en+seksualiteit5+Protocol.doc&amp;tabid=210&amp;mid=505</vt:lpwstr>
      </vt:variant>
      <vt:variant>
        <vt:lpwstr/>
      </vt:variant>
      <vt:variant>
        <vt:i4>2424881</vt:i4>
      </vt:variant>
      <vt:variant>
        <vt:i4>36</vt:i4>
      </vt:variant>
      <vt:variant>
        <vt:i4>0</vt:i4>
      </vt:variant>
      <vt:variant>
        <vt:i4>5</vt:i4>
      </vt:variant>
      <vt:variant>
        <vt:lpwstr>http://mpi-dnn/DotNetNuke/LinkClick.aspx?link=KHB%2fDienstverlening%2fProcedures%2fRelatievorming+en+seksualiteit+4+Procedure.doc&amp;tabid=210&amp;mid=505</vt:lpwstr>
      </vt:variant>
      <vt:variant>
        <vt:lpwstr/>
      </vt:variant>
      <vt:variant>
        <vt:i4>4587551</vt:i4>
      </vt:variant>
      <vt:variant>
        <vt:i4>33</vt:i4>
      </vt:variant>
      <vt:variant>
        <vt:i4>0</vt:i4>
      </vt:variant>
      <vt:variant>
        <vt:i4>5</vt:i4>
      </vt:variant>
      <vt:variant>
        <vt:lpwstr>http://mpi-dnn/DotNetNuke/LinkClick.aspx?link=KHB%2fDienstverlening%2fProcedures%2f03+Herkennen+en+omgaan+met+vermoeden+van+misbruik+en+geweld.doc&amp;tabid=210&amp;mid=505</vt:lpwstr>
      </vt:variant>
      <vt:variant>
        <vt:lpwstr/>
      </vt:variant>
      <vt:variant>
        <vt:i4>6488111</vt:i4>
      </vt:variant>
      <vt:variant>
        <vt:i4>30</vt:i4>
      </vt:variant>
      <vt:variant>
        <vt:i4>0</vt:i4>
      </vt:variant>
      <vt:variant>
        <vt:i4>5</vt:i4>
      </vt:variant>
      <vt:variant>
        <vt:lpwstr>http://mpi-dnn/DotNetNuke/LinkClick.aspx?link=KHB%2fDienstverlening%2fProcedures%2f04+Schema+dialoogmodel.doc&amp;tabid=210&amp;mid=505</vt:lpwstr>
      </vt:variant>
      <vt:variant>
        <vt:lpwstr/>
      </vt:variant>
      <vt:variant>
        <vt:i4>4587609</vt:i4>
      </vt:variant>
      <vt:variant>
        <vt:i4>27</vt:i4>
      </vt:variant>
      <vt:variant>
        <vt:i4>0</vt:i4>
      </vt:variant>
      <vt:variant>
        <vt:i4>5</vt:i4>
      </vt:variant>
      <vt:variant>
        <vt:lpwstr>http://mpi-dnn/DotNetNuke/LinkClick.aspx?link=KHB%2fDienstverlening%2fProcedures%2fRelatievorming+en+seksualiteit+3+Preventiebeleid.doc&amp;tabid=210&amp;mid=505</vt:lpwstr>
      </vt:variant>
      <vt:variant>
        <vt:lpwstr/>
      </vt:variant>
      <vt:variant>
        <vt:i4>6815842</vt:i4>
      </vt:variant>
      <vt:variant>
        <vt:i4>24</vt:i4>
      </vt:variant>
      <vt:variant>
        <vt:i4>0</vt:i4>
      </vt:variant>
      <vt:variant>
        <vt:i4>5</vt:i4>
      </vt:variant>
      <vt:variant>
        <vt:lpwstr>http://mpi-dnn/DotNetNuke/LinkClick.aspx?link=KHB%2fDienstverlening%2fProcedures%2f05+Visietekst+Algemeen+seksueel+gezondheidsbeleid.doc&amp;tabid=210&amp;mid=505</vt:lpwstr>
      </vt:variant>
      <vt:variant>
        <vt:lpwstr/>
      </vt:variant>
      <vt:variant>
        <vt:i4>7274541</vt:i4>
      </vt:variant>
      <vt:variant>
        <vt:i4>21</vt:i4>
      </vt:variant>
      <vt:variant>
        <vt:i4>0</vt:i4>
      </vt:variant>
      <vt:variant>
        <vt:i4>5</vt:i4>
      </vt:variant>
      <vt:variant>
        <vt:lpwstr>http://mpi-dnn/DotNetNuke/LinkClick.aspx?link=KHB%2fDienstverlening%2fProcedures%2fRelatievorming+en+seksualiteit+1+Uitgangspunt.doc&amp;tabid=210&amp;mid=505</vt:lpwstr>
      </vt:variant>
      <vt:variant>
        <vt:lpwstr/>
      </vt:variant>
      <vt:variant>
        <vt:i4>7929910</vt:i4>
      </vt:variant>
      <vt:variant>
        <vt:i4>18</vt:i4>
      </vt:variant>
      <vt:variant>
        <vt:i4>0</vt:i4>
      </vt:variant>
      <vt:variant>
        <vt:i4>5</vt:i4>
      </vt:variant>
      <vt:variant>
        <vt:lpwstr>Agressiebeleid/Agressiebeleid procedure Richtlijnen voor het gebruik van bedgordels.doc</vt:lpwstr>
      </vt:variant>
      <vt:variant>
        <vt:lpwstr/>
      </vt:variant>
      <vt:variant>
        <vt:i4>196685</vt:i4>
      </vt:variant>
      <vt:variant>
        <vt:i4>15</vt:i4>
      </vt:variant>
      <vt:variant>
        <vt:i4>0</vt:i4>
      </vt:variant>
      <vt:variant>
        <vt:i4>5</vt:i4>
      </vt:variant>
      <vt:variant>
        <vt:lpwstr>http://mpi-dnn/DotNetNuke/LinkClick.aspx?link=KHB%2fDienstverlening%2fProcedures%2fAgressiebeleid+4++Beveiligingsruimte.doc&amp;tabid=210&amp;mid=505</vt:lpwstr>
      </vt:variant>
      <vt:variant>
        <vt:lpwstr/>
      </vt:variant>
      <vt:variant>
        <vt:i4>6684712</vt:i4>
      </vt:variant>
      <vt:variant>
        <vt:i4>12</vt:i4>
      </vt:variant>
      <vt:variant>
        <vt:i4>0</vt:i4>
      </vt:variant>
      <vt:variant>
        <vt:i4>5</vt:i4>
      </vt:variant>
      <vt:variant>
        <vt:lpwstr>http://mpi-dnn/DotNetNuke/LinkClick.aspx?link=KHB%2fDienstverlening%2fProcedures%2fAgressiebeleid+4+Procedures+Opvolgen+van+probleemsituaties.doc&amp;tabid=210&amp;mid=505</vt:lpwstr>
      </vt:variant>
      <vt:variant>
        <vt:lpwstr/>
      </vt:variant>
      <vt:variant>
        <vt:i4>4391004</vt:i4>
      </vt:variant>
      <vt:variant>
        <vt:i4>9</vt:i4>
      </vt:variant>
      <vt:variant>
        <vt:i4>0</vt:i4>
      </vt:variant>
      <vt:variant>
        <vt:i4>5</vt:i4>
      </vt:variant>
      <vt:variant>
        <vt:lpwstr>http://mpi-dnn/DotNetNuke/LinkClick.aspx?link=KHB%2fDienstverlening%2fProcedures%2fAgressiebeleid+4+Procedures+Toelichting.doc&amp;tabid=210&amp;mid=505</vt:lpwstr>
      </vt:variant>
      <vt:variant>
        <vt:lpwstr/>
      </vt:variant>
      <vt:variant>
        <vt:i4>6619250</vt:i4>
      </vt:variant>
      <vt:variant>
        <vt:i4>6</vt:i4>
      </vt:variant>
      <vt:variant>
        <vt:i4>0</vt:i4>
      </vt:variant>
      <vt:variant>
        <vt:i4>5</vt:i4>
      </vt:variant>
      <vt:variant>
        <vt:lpwstr>http://mpi-dnn/DotNetNuke/LinkClick.aspx?link=KHB%2fDienstverlening%2fProcedures%2fAgressiebeleid+3+Methode+Crisisontwikkelingsmodel.doc&amp;tabid=210&amp;mid=505</vt:lpwstr>
      </vt:variant>
      <vt:variant>
        <vt:lpwstr/>
      </vt:variant>
      <vt:variant>
        <vt:i4>6291505</vt:i4>
      </vt:variant>
      <vt:variant>
        <vt:i4>3</vt:i4>
      </vt:variant>
      <vt:variant>
        <vt:i4>0</vt:i4>
      </vt:variant>
      <vt:variant>
        <vt:i4>5</vt:i4>
      </vt:variant>
      <vt:variant>
        <vt:lpwstr>http://mpi-dnn/DotNetNuke/LinkClick.aspx?link=KHB%2fDienstverlening%2fProcedures%2f11+Visietekst+Agressie.doc&amp;tabid=210&amp;mid=505</vt:lpwstr>
      </vt:variant>
      <vt:variant>
        <vt:lpwstr/>
      </vt:variant>
      <vt:variant>
        <vt:i4>3866747</vt:i4>
      </vt:variant>
      <vt:variant>
        <vt:i4>0</vt:i4>
      </vt:variant>
      <vt:variant>
        <vt:i4>0</vt:i4>
      </vt:variant>
      <vt:variant>
        <vt:i4>5</vt:i4>
      </vt:variant>
      <vt:variant>
        <vt:lpwstr>http://mpi-dnn/DotNetNuke/LinkClick.aspx?link=KHB%2fDienstverlening%2fProcedures%2fAgressiebeleid+1+Uitgangspunt.doc&amp;tabid=210&amp;mid=505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1 Agressiebeleid</dc:title>
  <dc:subject/>
  <dc:creator>margap</dc:creator>
  <cp:keywords/>
  <cp:lastModifiedBy>Dana Keustermans</cp:lastModifiedBy>
  <cp:revision>24</cp:revision>
  <dcterms:created xsi:type="dcterms:W3CDTF">2016-09-27T07:56:00Z</dcterms:created>
  <dcterms:modified xsi:type="dcterms:W3CDTF">2025-05-06T08:04:00Z</dcterms:modified>
</cp:coreProperties>
</file>