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2C" w:rsidRPr="00ED16D4" w:rsidRDefault="006B0A2C" w:rsidP="006B0A2C">
      <w:pPr>
        <w:rPr>
          <w:rFonts w:ascii="Arial" w:hAnsi="Arial" w:cs="Arial"/>
        </w:rPr>
      </w:pPr>
      <w:bookmarkStart w:id="0" w:name="_GoBack"/>
      <w:bookmarkEnd w:id="0"/>
    </w:p>
    <w:p w:rsidR="00EF2AD2" w:rsidRPr="00EF2AD2" w:rsidRDefault="00EF2AD2" w:rsidP="00EF2AD2">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 xml:space="preserve">Situering </w:t>
      </w:r>
      <w:r w:rsidR="006B0A2C" w:rsidRPr="00EF2AD2">
        <w:rPr>
          <w:rFonts w:ascii="Arial" w:hAnsi="Arial" w:cs="Arial"/>
          <w:b/>
          <w:sz w:val="22"/>
          <w:szCs w:val="22"/>
        </w:rPr>
        <w:t>van de procedure</w:t>
      </w:r>
      <w:r w:rsidR="003A777A">
        <w:rPr>
          <w:rFonts w:ascii="Arial" w:hAnsi="Arial" w:cs="Arial"/>
          <w:b/>
          <w:sz w:val="22"/>
          <w:szCs w:val="22"/>
        </w:rPr>
        <w:t xml:space="preserve">: </w:t>
      </w:r>
      <w:r w:rsidR="003A777A" w:rsidRPr="00EF2AD2">
        <w:rPr>
          <w:rFonts w:ascii="Arial" w:hAnsi="Arial" w:cs="Arial"/>
          <w:b/>
          <w:sz w:val="22"/>
          <w:szCs w:val="22"/>
        </w:rPr>
        <w:t>uitgangspunt van relatievorming en seksualiteit</w:t>
      </w:r>
    </w:p>
    <w:p w:rsidR="00EF2AD2" w:rsidRPr="00EF2AD2" w:rsidRDefault="00EF2AD2" w:rsidP="00EF2AD2">
      <w:pPr>
        <w:rPr>
          <w:rFonts w:ascii="Arial" w:hAnsi="Arial" w:cs="Arial"/>
          <w:sz w:val="22"/>
          <w:szCs w:val="22"/>
        </w:rPr>
      </w:pPr>
    </w:p>
    <w:p w:rsidR="00EF2AD2" w:rsidRPr="00EF2AD2" w:rsidRDefault="00EF2AD2" w:rsidP="00EF2AD2">
      <w:pPr>
        <w:rPr>
          <w:rFonts w:ascii="Arial" w:hAnsi="Arial" w:cs="Arial"/>
          <w:b/>
          <w:sz w:val="22"/>
          <w:szCs w:val="22"/>
        </w:rPr>
      </w:pPr>
      <w:r w:rsidRPr="00EF2AD2">
        <w:rPr>
          <w:rFonts w:ascii="Arial" w:hAnsi="Arial" w:cs="Arial"/>
          <w:sz w:val="22"/>
          <w:szCs w:val="22"/>
        </w:rPr>
        <w:t>Deze procedure situeert zich binnen de procedure ‘Preventie van misbruik en geweld’.</w:t>
      </w:r>
    </w:p>
    <w:p w:rsidR="00EF2AD2" w:rsidRPr="00EF2AD2" w:rsidRDefault="00EF2AD2" w:rsidP="00EF2AD2">
      <w:pPr>
        <w:rPr>
          <w:rFonts w:ascii="Arial" w:hAnsi="Arial" w:cs="Arial"/>
          <w:sz w:val="22"/>
          <w:szCs w:val="22"/>
        </w:rPr>
      </w:pPr>
      <w:r w:rsidRPr="00EF2AD2">
        <w:rPr>
          <w:rFonts w:ascii="Arial" w:hAnsi="Arial" w:cs="Arial"/>
          <w:sz w:val="22"/>
          <w:szCs w:val="22"/>
        </w:rPr>
        <w:t>Binnen ‘Preventie van misbruik en geweld’ wordt volgende opsplitsing gemaakt:</w:t>
      </w:r>
    </w:p>
    <w:p w:rsidR="00EF2AD2" w:rsidRPr="00EF2AD2" w:rsidRDefault="00EF2AD2" w:rsidP="00EF2AD2">
      <w:pPr>
        <w:rPr>
          <w:rFonts w:ascii="Arial" w:hAnsi="Arial" w:cs="Arial"/>
          <w:sz w:val="22"/>
          <w:szCs w:val="22"/>
        </w:rPr>
      </w:pPr>
      <w:r w:rsidRPr="00EF2AD2">
        <w:rPr>
          <w:rFonts w:ascii="Arial" w:hAnsi="Arial" w:cs="Arial"/>
          <w:sz w:val="22"/>
          <w:szCs w:val="22"/>
        </w:rPr>
        <w:t>Deel 1: Agressiebeleid</w:t>
      </w:r>
    </w:p>
    <w:p w:rsidR="00EF2AD2" w:rsidRPr="00EF2AD2" w:rsidRDefault="00EF2AD2" w:rsidP="00EF2AD2">
      <w:pPr>
        <w:rPr>
          <w:rFonts w:ascii="Arial" w:hAnsi="Arial" w:cs="Arial"/>
          <w:sz w:val="22"/>
          <w:szCs w:val="22"/>
        </w:rPr>
      </w:pPr>
      <w:r w:rsidRPr="00EF2AD2">
        <w:rPr>
          <w:rFonts w:ascii="Arial" w:hAnsi="Arial" w:cs="Arial"/>
          <w:sz w:val="22"/>
          <w:szCs w:val="22"/>
        </w:rPr>
        <w:t>Deel 2: Relatievorming en seksualiteit</w:t>
      </w:r>
    </w:p>
    <w:p w:rsidR="00EF2AD2" w:rsidRPr="00EF2AD2" w:rsidRDefault="00EF2AD2" w:rsidP="00EF2AD2">
      <w:pPr>
        <w:rPr>
          <w:rFonts w:ascii="Arial" w:hAnsi="Arial" w:cs="Arial"/>
          <w:sz w:val="22"/>
          <w:szCs w:val="22"/>
        </w:rPr>
      </w:pPr>
    </w:p>
    <w:p w:rsidR="00EF2AD2" w:rsidRPr="00EF2AD2" w:rsidRDefault="00EF2AD2" w:rsidP="00EF2AD2">
      <w:pPr>
        <w:rPr>
          <w:rFonts w:ascii="Arial" w:hAnsi="Arial" w:cs="Arial"/>
          <w:sz w:val="22"/>
          <w:szCs w:val="22"/>
        </w:rPr>
      </w:pPr>
      <w:r w:rsidRPr="00EF2AD2">
        <w:rPr>
          <w:rFonts w:ascii="Arial" w:hAnsi="Arial" w:cs="Arial"/>
          <w:sz w:val="22"/>
          <w:szCs w:val="22"/>
        </w:rPr>
        <w:t xml:space="preserve">In deze procedure wordt het </w:t>
      </w:r>
      <w:r w:rsidRPr="003A777A">
        <w:rPr>
          <w:rFonts w:ascii="Arial" w:hAnsi="Arial" w:cs="Arial"/>
          <w:sz w:val="22"/>
          <w:szCs w:val="22"/>
        </w:rPr>
        <w:t>uitgangspunt van relatievorming en seksualiteit</w:t>
      </w:r>
      <w:r w:rsidRPr="00EF2AD2">
        <w:rPr>
          <w:rFonts w:ascii="Arial" w:hAnsi="Arial" w:cs="Arial"/>
          <w:sz w:val="22"/>
          <w:szCs w:val="22"/>
        </w:rPr>
        <w:t xml:space="preserve"> beschreven.</w:t>
      </w:r>
    </w:p>
    <w:p w:rsidR="00EF2AD2" w:rsidRPr="00EF2AD2" w:rsidRDefault="00EF2AD2" w:rsidP="00EF2AD2">
      <w:pPr>
        <w:rPr>
          <w:rFonts w:ascii="Arial" w:hAnsi="Arial" w:cs="Arial"/>
          <w:b/>
          <w:sz w:val="22"/>
          <w:szCs w:val="22"/>
        </w:rPr>
      </w:pPr>
    </w:p>
    <w:p w:rsidR="00EF2AD2" w:rsidRPr="00EF2AD2" w:rsidRDefault="00EF2AD2" w:rsidP="00EF2AD2">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Beschrijving van de procedure</w:t>
      </w:r>
      <w:r w:rsidR="003A777A">
        <w:rPr>
          <w:rFonts w:ascii="Arial" w:hAnsi="Arial" w:cs="Arial"/>
          <w:b/>
          <w:sz w:val="22"/>
          <w:szCs w:val="22"/>
        </w:rPr>
        <w:t xml:space="preserve">: </w:t>
      </w:r>
      <w:r w:rsidR="003A777A" w:rsidRPr="00EF2AD2">
        <w:rPr>
          <w:rFonts w:ascii="Arial" w:hAnsi="Arial" w:cs="Arial"/>
          <w:b/>
          <w:sz w:val="22"/>
          <w:szCs w:val="22"/>
        </w:rPr>
        <w:t>uitgangspunt van relatievorming en seksualiteit</w:t>
      </w:r>
    </w:p>
    <w:p w:rsidR="006B0A2C" w:rsidRPr="008903AB" w:rsidRDefault="006B0A2C" w:rsidP="006B0A2C">
      <w:pPr>
        <w:rPr>
          <w:rFonts w:ascii="Arial" w:hAnsi="Arial" w:cs="Arial"/>
        </w:rPr>
      </w:pPr>
    </w:p>
    <w:p w:rsidR="00977F12" w:rsidRDefault="0074439A" w:rsidP="0074439A">
      <w:pPr>
        <w:rPr>
          <w:rFonts w:ascii="Arial" w:hAnsi="Arial" w:cs="Arial"/>
          <w:sz w:val="22"/>
          <w:szCs w:val="22"/>
        </w:rPr>
      </w:pPr>
      <w:r w:rsidRPr="0074439A">
        <w:rPr>
          <w:rFonts w:ascii="Arial" w:hAnsi="Arial" w:cs="Arial"/>
          <w:sz w:val="22"/>
          <w:szCs w:val="22"/>
        </w:rPr>
        <w:t>Begeleiding en ondersteuning van cliënten worden gestuurd door een diep respect voor de persoon en richten zich op</w:t>
      </w:r>
      <w:r w:rsidR="00EF2AD2">
        <w:rPr>
          <w:rFonts w:ascii="Arial" w:hAnsi="Arial" w:cs="Arial"/>
          <w:sz w:val="22"/>
          <w:szCs w:val="22"/>
        </w:rPr>
        <w:t xml:space="preserve"> de</w:t>
      </w:r>
      <w:r w:rsidRPr="0074439A">
        <w:rPr>
          <w:rFonts w:ascii="Arial" w:hAnsi="Arial" w:cs="Arial"/>
          <w:sz w:val="22"/>
          <w:szCs w:val="22"/>
        </w:rPr>
        <w:t xml:space="preserve"> welzijnsbevordering van de totale persoon.</w:t>
      </w:r>
      <w:r w:rsidR="00977F12">
        <w:rPr>
          <w:rFonts w:ascii="Arial" w:hAnsi="Arial" w:cs="Arial"/>
          <w:sz w:val="22"/>
          <w:szCs w:val="22"/>
        </w:rPr>
        <w:t xml:space="preserve"> </w:t>
      </w:r>
      <w:r w:rsidRPr="0074439A">
        <w:rPr>
          <w:rFonts w:ascii="Arial" w:hAnsi="Arial" w:cs="Arial"/>
          <w:sz w:val="22"/>
          <w:szCs w:val="22"/>
        </w:rPr>
        <w:t xml:space="preserve">Relaties en seksualiteit vormen hiervan een niet los te </w:t>
      </w:r>
      <w:r w:rsidR="00EF2AD2">
        <w:rPr>
          <w:rFonts w:ascii="Arial" w:hAnsi="Arial" w:cs="Arial"/>
          <w:sz w:val="22"/>
          <w:szCs w:val="22"/>
        </w:rPr>
        <w:t>koppelen</w:t>
      </w:r>
      <w:r w:rsidRPr="0074439A">
        <w:rPr>
          <w:rFonts w:ascii="Arial" w:hAnsi="Arial" w:cs="Arial"/>
          <w:sz w:val="22"/>
          <w:szCs w:val="22"/>
        </w:rPr>
        <w:t xml:space="preserve"> onderdeel. De motor in dit alles is de dialoog. </w:t>
      </w:r>
    </w:p>
    <w:p w:rsidR="0074439A" w:rsidRDefault="00977F12" w:rsidP="0074439A">
      <w:pPr>
        <w:rPr>
          <w:rFonts w:ascii="Arial" w:hAnsi="Arial" w:cs="Arial"/>
          <w:sz w:val="22"/>
          <w:szCs w:val="22"/>
        </w:rPr>
      </w:pPr>
      <w:r>
        <w:rPr>
          <w:rFonts w:ascii="Arial" w:hAnsi="Arial" w:cs="Arial"/>
          <w:sz w:val="22"/>
          <w:szCs w:val="22"/>
        </w:rPr>
        <w:t xml:space="preserve">De kern van de opdracht: </w:t>
      </w:r>
      <w:r w:rsidR="0074439A" w:rsidRPr="0074439A">
        <w:rPr>
          <w:rFonts w:ascii="Arial" w:hAnsi="Arial" w:cs="Arial"/>
          <w:sz w:val="22"/>
          <w:szCs w:val="22"/>
        </w:rPr>
        <w:t>Mensen helpen om te groeien in de richting van een zo groot mogelijke menswaardigheid.</w:t>
      </w:r>
      <w:r>
        <w:rPr>
          <w:rFonts w:ascii="Arial" w:hAnsi="Arial" w:cs="Arial"/>
          <w:sz w:val="22"/>
          <w:szCs w:val="22"/>
        </w:rPr>
        <w:t xml:space="preserve"> </w:t>
      </w:r>
      <w:r w:rsidR="0074439A" w:rsidRPr="0074439A">
        <w:rPr>
          <w:rFonts w:ascii="Arial" w:hAnsi="Arial" w:cs="Arial"/>
          <w:sz w:val="22"/>
          <w:szCs w:val="22"/>
        </w:rPr>
        <w:t>In dit domein kunnen we immers niet loskomen van waarden en normen. Een voortdu</w:t>
      </w:r>
      <w:r>
        <w:rPr>
          <w:rFonts w:ascii="Arial" w:hAnsi="Arial" w:cs="Arial"/>
          <w:sz w:val="22"/>
          <w:szCs w:val="22"/>
        </w:rPr>
        <w:t>rend gesprek met cliënt en alle</w:t>
      </w:r>
      <w:r w:rsidR="0074439A" w:rsidRPr="0074439A">
        <w:rPr>
          <w:rFonts w:ascii="Arial" w:hAnsi="Arial" w:cs="Arial"/>
          <w:sz w:val="22"/>
          <w:szCs w:val="22"/>
        </w:rPr>
        <w:t xml:space="preserve"> voor</w:t>
      </w:r>
      <w:r>
        <w:rPr>
          <w:rFonts w:ascii="Arial" w:hAnsi="Arial" w:cs="Arial"/>
          <w:sz w:val="22"/>
          <w:szCs w:val="22"/>
        </w:rPr>
        <w:t xml:space="preserve"> de cliënt belangrijke personen</w:t>
      </w:r>
      <w:r w:rsidR="0074439A" w:rsidRPr="0074439A">
        <w:rPr>
          <w:rFonts w:ascii="Arial" w:hAnsi="Arial" w:cs="Arial"/>
          <w:sz w:val="22"/>
          <w:szCs w:val="22"/>
        </w:rPr>
        <w:t xml:space="preserve"> bepalen de richting.</w:t>
      </w:r>
    </w:p>
    <w:p w:rsidR="00977F12" w:rsidRPr="0074439A" w:rsidRDefault="00C47699" w:rsidP="0074439A">
      <w:pPr>
        <w:rPr>
          <w:rFonts w:ascii="Arial" w:hAnsi="Arial" w:cs="Arial"/>
          <w:sz w:val="22"/>
          <w:szCs w:val="22"/>
        </w:rPr>
      </w:pPr>
      <w:r>
        <w:rPr>
          <w:rFonts w:ascii="Arial" w:hAnsi="Arial" w:cs="Arial"/>
          <w:noProof/>
          <w:lang w:val="nl-BE" w:eastAsia="nl-BE"/>
        </w:rPr>
        <w:drawing>
          <wp:anchor distT="0" distB="0" distL="114300" distR="114300" simplePos="0" relativeHeight="251658240" behindDoc="1" locked="0" layoutInCell="1" allowOverlap="1" wp14:anchorId="79AAC06A" wp14:editId="26A49586">
            <wp:simplePos x="0" y="0"/>
            <wp:positionH relativeFrom="column">
              <wp:posOffset>3653155</wp:posOffset>
            </wp:positionH>
            <wp:positionV relativeFrom="paragraph">
              <wp:posOffset>3810</wp:posOffset>
            </wp:positionV>
            <wp:extent cx="2667000" cy="1552331"/>
            <wp:effectExtent l="19050" t="19050" r="38100" b="10160"/>
            <wp:wrapTight wrapText="bothSides">
              <wp:wrapPolygon edited="0">
                <wp:start x="10337" y="-265"/>
                <wp:lineTo x="1851" y="16439"/>
                <wp:lineTo x="-154" y="16969"/>
                <wp:lineTo x="-154" y="21476"/>
                <wp:lineTo x="21754" y="21476"/>
                <wp:lineTo x="21754" y="21211"/>
                <wp:lineTo x="11263" y="-265"/>
                <wp:lineTo x="10337" y="-26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74439A" w:rsidRDefault="0074439A" w:rsidP="0074439A">
      <w:pPr>
        <w:rPr>
          <w:rFonts w:ascii="Arial" w:hAnsi="Arial" w:cs="Arial"/>
          <w:sz w:val="22"/>
          <w:szCs w:val="22"/>
        </w:rPr>
      </w:pPr>
      <w:r w:rsidRPr="0074439A">
        <w:rPr>
          <w:rFonts w:ascii="Arial" w:hAnsi="Arial" w:cs="Arial"/>
          <w:sz w:val="22"/>
          <w:szCs w:val="22"/>
        </w:rPr>
        <w:t xml:space="preserve">De </w:t>
      </w:r>
      <w:r w:rsidRPr="00977F12">
        <w:rPr>
          <w:rFonts w:ascii="Arial" w:hAnsi="Arial" w:cs="Arial"/>
          <w:b/>
          <w:sz w:val="22"/>
          <w:szCs w:val="22"/>
        </w:rPr>
        <w:t>visie</w:t>
      </w:r>
      <w:r w:rsidRPr="0074439A">
        <w:rPr>
          <w:rFonts w:ascii="Arial" w:hAnsi="Arial" w:cs="Arial"/>
          <w:sz w:val="22"/>
          <w:szCs w:val="22"/>
        </w:rPr>
        <w:t xml:space="preserve"> op relatievorming en seksualiteit wordt in </w:t>
      </w:r>
      <w:r w:rsidR="00D77330">
        <w:rPr>
          <w:rFonts w:ascii="Arial" w:hAnsi="Arial" w:cs="Arial"/>
          <w:sz w:val="22"/>
          <w:szCs w:val="22"/>
        </w:rPr>
        <w:t>MPI Oosterlo</w:t>
      </w:r>
      <w:r w:rsidRPr="0074439A">
        <w:rPr>
          <w:rFonts w:ascii="Arial" w:hAnsi="Arial" w:cs="Arial"/>
          <w:sz w:val="22"/>
          <w:szCs w:val="22"/>
        </w:rPr>
        <w:t xml:space="preserve"> uitgewerkt als een drie stappenplan. </w:t>
      </w:r>
    </w:p>
    <w:p w:rsidR="00C47699" w:rsidRPr="0074439A" w:rsidRDefault="00C47699" w:rsidP="0074439A">
      <w:pPr>
        <w:rPr>
          <w:rFonts w:ascii="Arial" w:hAnsi="Arial" w:cs="Arial"/>
          <w:sz w:val="22"/>
          <w:szCs w:val="22"/>
        </w:rPr>
      </w:pPr>
    </w:p>
    <w:p w:rsidR="0074439A" w:rsidRPr="0074439A" w:rsidRDefault="00977F12" w:rsidP="0074439A">
      <w:pPr>
        <w:rPr>
          <w:rFonts w:ascii="Arial" w:hAnsi="Arial" w:cs="Arial"/>
          <w:sz w:val="22"/>
          <w:szCs w:val="22"/>
        </w:rPr>
      </w:pPr>
      <w:r w:rsidRPr="00977F12">
        <w:rPr>
          <w:rFonts w:ascii="Arial" w:hAnsi="Arial" w:cs="Arial"/>
          <w:b/>
          <w:sz w:val="22"/>
          <w:szCs w:val="22"/>
        </w:rPr>
        <w:t>S</w:t>
      </w:r>
      <w:r w:rsidR="0074439A" w:rsidRPr="00977F12">
        <w:rPr>
          <w:rFonts w:ascii="Arial" w:hAnsi="Arial" w:cs="Arial"/>
          <w:b/>
          <w:sz w:val="22"/>
          <w:szCs w:val="22"/>
        </w:rPr>
        <w:t>tap</w:t>
      </w:r>
      <w:r w:rsidRPr="00977F12">
        <w:rPr>
          <w:rFonts w:ascii="Arial" w:hAnsi="Arial" w:cs="Arial"/>
          <w:b/>
          <w:sz w:val="22"/>
          <w:szCs w:val="22"/>
        </w:rPr>
        <w:t xml:space="preserve"> 1</w:t>
      </w:r>
      <w:r>
        <w:rPr>
          <w:rFonts w:ascii="Arial" w:hAnsi="Arial" w:cs="Arial"/>
          <w:sz w:val="22"/>
          <w:szCs w:val="22"/>
        </w:rPr>
        <w:t xml:space="preserve">: </w:t>
      </w:r>
      <w:r w:rsidR="0074439A" w:rsidRPr="0074439A">
        <w:rPr>
          <w:rFonts w:ascii="Arial" w:hAnsi="Arial" w:cs="Arial"/>
          <w:sz w:val="22"/>
          <w:szCs w:val="22"/>
        </w:rPr>
        <w:t>een algemeen gezondheidsbeleid</w:t>
      </w:r>
      <w:r>
        <w:rPr>
          <w:rFonts w:ascii="Arial" w:hAnsi="Arial" w:cs="Arial"/>
          <w:sz w:val="22"/>
          <w:szCs w:val="22"/>
        </w:rPr>
        <w:t xml:space="preserve">, </w:t>
      </w:r>
      <w:r w:rsidR="00CD28EA">
        <w:rPr>
          <w:rFonts w:ascii="Arial" w:hAnsi="Arial" w:cs="Arial"/>
          <w:sz w:val="22"/>
          <w:szCs w:val="22"/>
        </w:rPr>
        <w:t>kwaliteit</w:t>
      </w:r>
      <w:r>
        <w:rPr>
          <w:rFonts w:ascii="Arial" w:hAnsi="Arial" w:cs="Arial"/>
          <w:sz w:val="22"/>
          <w:szCs w:val="22"/>
        </w:rPr>
        <w:t xml:space="preserve"> van de zorg</w:t>
      </w:r>
      <w:r w:rsidR="0074439A" w:rsidRPr="0074439A">
        <w:rPr>
          <w:rFonts w:ascii="Arial" w:hAnsi="Arial" w:cs="Arial"/>
          <w:sz w:val="22"/>
          <w:szCs w:val="22"/>
        </w:rPr>
        <w:t xml:space="preserve"> </w:t>
      </w:r>
    </w:p>
    <w:p w:rsidR="0074439A" w:rsidRPr="0074439A" w:rsidRDefault="00977F12" w:rsidP="0074439A">
      <w:pPr>
        <w:rPr>
          <w:rFonts w:ascii="Arial" w:hAnsi="Arial" w:cs="Arial"/>
          <w:sz w:val="22"/>
          <w:szCs w:val="22"/>
        </w:rPr>
      </w:pPr>
      <w:r w:rsidRPr="00977F12">
        <w:rPr>
          <w:rFonts w:ascii="Arial" w:hAnsi="Arial" w:cs="Arial"/>
          <w:b/>
          <w:sz w:val="22"/>
          <w:szCs w:val="22"/>
        </w:rPr>
        <w:t>Stap 2</w:t>
      </w:r>
      <w:r>
        <w:rPr>
          <w:rFonts w:ascii="Arial" w:hAnsi="Arial" w:cs="Arial"/>
          <w:sz w:val="22"/>
          <w:szCs w:val="22"/>
        </w:rPr>
        <w:t xml:space="preserve">: </w:t>
      </w:r>
      <w:r w:rsidR="0074439A" w:rsidRPr="0074439A">
        <w:rPr>
          <w:rFonts w:ascii="Arial" w:hAnsi="Arial" w:cs="Arial"/>
          <w:sz w:val="22"/>
          <w:szCs w:val="22"/>
        </w:rPr>
        <w:t xml:space="preserve">een preventiebeleid. </w:t>
      </w:r>
    </w:p>
    <w:p w:rsidR="0074439A" w:rsidRDefault="00977F12" w:rsidP="00977F12">
      <w:pPr>
        <w:ind w:left="851" w:hanging="851"/>
        <w:rPr>
          <w:rFonts w:ascii="Arial" w:hAnsi="Arial" w:cs="Arial"/>
          <w:sz w:val="22"/>
          <w:szCs w:val="22"/>
        </w:rPr>
      </w:pPr>
      <w:r w:rsidRPr="00977F12">
        <w:rPr>
          <w:rFonts w:ascii="Arial" w:hAnsi="Arial" w:cs="Arial"/>
          <w:b/>
          <w:sz w:val="22"/>
          <w:szCs w:val="22"/>
        </w:rPr>
        <w:t>Stap 3</w:t>
      </w:r>
      <w:r>
        <w:rPr>
          <w:rFonts w:ascii="Arial" w:hAnsi="Arial" w:cs="Arial"/>
          <w:sz w:val="22"/>
          <w:szCs w:val="22"/>
        </w:rPr>
        <w:t>:</w:t>
      </w:r>
      <w:r w:rsidR="0074439A" w:rsidRPr="0074439A">
        <w:rPr>
          <w:rFonts w:ascii="Arial" w:hAnsi="Arial" w:cs="Arial"/>
          <w:sz w:val="22"/>
          <w:szCs w:val="22"/>
        </w:rPr>
        <w:t xml:space="preserve"> </w:t>
      </w:r>
      <w:r>
        <w:rPr>
          <w:rFonts w:ascii="Arial" w:hAnsi="Arial" w:cs="Arial"/>
          <w:sz w:val="22"/>
          <w:szCs w:val="22"/>
        </w:rPr>
        <w:t>een reactiebeleid dat beschrijft</w:t>
      </w:r>
      <w:r w:rsidR="0074439A" w:rsidRPr="0074439A">
        <w:rPr>
          <w:rFonts w:ascii="Arial" w:hAnsi="Arial" w:cs="Arial"/>
          <w:sz w:val="22"/>
          <w:szCs w:val="22"/>
        </w:rPr>
        <w:t xml:space="preserve"> wat er moet gebeuren indien er</w:t>
      </w:r>
      <w:r>
        <w:rPr>
          <w:rFonts w:ascii="Arial" w:hAnsi="Arial" w:cs="Arial"/>
          <w:sz w:val="22"/>
          <w:szCs w:val="22"/>
        </w:rPr>
        <w:t xml:space="preserve"> toch situaties zijn die fout lie</w:t>
      </w:r>
      <w:r w:rsidR="0074439A" w:rsidRPr="0074439A">
        <w:rPr>
          <w:rFonts w:ascii="Arial" w:hAnsi="Arial" w:cs="Arial"/>
          <w:sz w:val="22"/>
          <w:szCs w:val="22"/>
        </w:rPr>
        <w:t>pen.</w:t>
      </w:r>
    </w:p>
    <w:p w:rsidR="00977F12" w:rsidRPr="0074439A" w:rsidRDefault="00977F12" w:rsidP="00977F12">
      <w:pPr>
        <w:jc w:val="center"/>
        <w:rPr>
          <w:rFonts w:ascii="Arial" w:hAnsi="Arial" w:cs="Arial"/>
          <w:sz w:val="22"/>
          <w:szCs w:val="22"/>
        </w:rPr>
      </w:pPr>
    </w:p>
    <w:p w:rsidR="0074439A" w:rsidRDefault="0074439A" w:rsidP="0074439A">
      <w:pPr>
        <w:rPr>
          <w:rFonts w:ascii="Arial" w:hAnsi="Arial" w:cs="Arial"/>
          <w:sz w:val="22"/>
          <w:szCs w:val="22"/>
        </w:rPr>
      </w:pPr>
    </w:p>
    <w:p w:rsidR="00C47699" w:rsidRPr="0074439A" w:rsidRDefault="00C47699" w:rsidP="0074439A">
      <w:pPr>
        <w:rPr>
          <w:rFonts w:ascii="Arial" w:hAnsi="Arial" w:cs="Arial"/>
          <w:sz w:val="22"/>
          <w:szCs w:val="22"/>
        </w:rPr>
      </w:pPr>
    </w:p>
    <w:p w:rsidR="0074439A" w:rsidRDefault="0074439A" w:rsidP="0074439A">
      <w:pPr>
        <w:rPr>
          <w:rFonts w:ascii="Arial" w:hAnsi="Arial" w:cs="Arial"/>
          <w:sz w:val="22"/>
          <w:szCs w:val="22"/>
        </w:rPr>
      </w:pPr>
      <w:r w:rsidRPr="0074439A">
        <w:rPr>
          <w:rFonts w:ascii="Arial" w:hAnsi="Arial" w:cs="Arial"/>
          <w:b/>
          <w:sz w:val="22"/>
          <w:szCs w:val="22"/>
        </w:rPr>
        <w:t>Een algeme</w:t>
      </w:r>
      <w:r w:rsidR="00977F12">
        <w:rPr>
          <w:rFonts w:ascii="Arial" w:hAnsi="Arial" w:cs="Arial"/>
          <w:b/>
          <w:sz w:val="22"/>
          <w:szCs w:val="22"/>
        </w:rPr>
        <w:t>en seksueel gezondheidsbeleid (stap 1</w:t>
      </w:r>
      <w:r w:rsidRPr="0074439A">
        <w:rPr>
          <w:rFonts w:ascii="Arial" w:hAnsi="Arial" w:cs="Arial"/>
          <w:b/>
          <w:sz w:val="22"/>
          <w:szCs w:val="22"/>
        </w:rPr>
        <w:t>)</w:t>
      </w:r>
      <w:r w:rsidRPr="0074439A">
        <w:rPr>
          <w:rFonts w:ascii="Arial" w:hAnsi="Arial" w:cs="Arial"/>
          <w:sz w:val="22"/>
          <w:szCs w:val="22"/>
        </w:rPr>
        <w:t xml:space="preserve"> </w:t>
      </w:r>
      <w:proofErr w:type="spellStart"/>
      <w:r w:rsidRPr="0074439A">
        <w:rPr>
          <w:rFonts w:ascii="Arial" w:hAnsi="Arial" w:cs="Arial"/>
          <w:sz w:val="22"/>
          <w:szCs w:val="22"/>
        </w:rPr>
        <w:t>èn</w:t>
      </w:r>
      <w:proofErr w:type="spellEnd"/>
      <w:r w:rsidRPr="0074439A">
        <w:rPr>
          <w:rFonts w:ascii="Arial" w:hAnsi="Arial" w:cs="Arial"/>
          <w:sz w:val="22"/>
          <w:szCs w:val="22"/>
        </w:rPr>
        <w:t xml:space="preserve"> </w:t>
      </w:r>
      <w:r w:rsidR="00977F12">
        <w:rPr>
          <w:rFonts w:ascii="Arial" w:hAnsi="Arial" w:cs="Arial"/>
          <w:b/>
          <w:sz w:val="22"/>
          <w:szCs w:val="22"/>
        </w:rPr>
        <w:t>een preventiebeleid (stap 2</w:t>
      </w:r>
      <w:r w:rsidRPr="0074439A">
        <w:rPr>
          <w:rFonts w:ascii="Arial" w:hAnsi="Arial" w:cs="Arial"/>
          <w:b/>
          <w:sz w:val="22"/>
          <w:szCs w:val="22"/>
        </w:rPr>
        <w:t>)</w:t>
      </w:r>
      <w:r w:rsidRPr="0074439A">
        <w:rPr>
          <w:rFonts w:ascii="Arial" w:hAnsi="Arial" w:cs="Arial"/>
          <w:sz w:val="22"/>
          <w:szCs w:val="22"/>
        </w:rPr>
        <w:t xml:space="preserve"> gaan samen. Ze vormen samen de basis om dag in dag uit bewust met het onderwerp te kunnen werken. Structuren worden uitgewerkt, kaders worden gegeven, maar het gesprek tussen alle partijen blijft de belangrijkste motor voor beslissingen in de individuele opvolging van personen met een </w:t>
      </w:r>
      <w:r w:rsidR="000F428D">
        <w:rPr>
          <w:rFonts w:ascii="Arial" w:hAnsi="Arial" w:cs="Arial"/>
          <w:sz w:val="22"/>
          <w:szCs w:val="22"/>
        </w:rPr>
        <w:t>beperking</w:t>
      </w:r>
      <w:r w:rsidRPr="0074439A">
        <w:rPr>
          <w:rFonts w:ascii="Arial" w:hAnsi="Arial" w:cs="Arial"/>
          <w:sz w:val="22"/>
          <w:szCs w:val="22"/>
        </w:rPr>
        <w:t>. Ook het samenleven van een grote groep mensen wordt geregeld. Toch zal ook hier een gesprek de dagelijkse praktijk moeten versterken en aanpassen aan de concrete situatie waarin personen samenleven.</w:t>
      </w:r>
    </w:p>
    <w:p w:rsidR="008568F3" w:rsidRPr="0074439A" w:rsidRDefault="008568F3" w:rsidP="0074439A">
      <w:pPr>
        <w:rPr>
          <w:rFonts w:ascii="Arial" w:hAnsi="Arial" w:cs="Arial"/>
          <w:sz w:val="22"/>
          <w:szCs w:val="22"/>
        </w:rPr>
      </w:pPr>
    </w:p>
    <w:p w:rsidR="0074439A" w:rsidRDefault="0074439A" w:rsidP="0074439A">
      <w:pPr>
        <w:rPr>
          <w:rFonts w:ascii="Arial" w:hAnsi="Arial" w:cs="Arial"/>
          <w:sz w:val="22"/>
          <w:szCs w:val="22"/>
        </w:rPr>
      </w:pPr>
      <w:r w:rsidRPr="0074439A">
        <w:rPr>
          <w:rFonts w:ascii="Arial" w:hAnsi="Arial" w:cs="Arial"/>
          <w:sz w:val="22"/>
          <w:szCs w:val="22"/>
        </w:rPr>
        <w:t xml:space="preserve">Tenslotte worden ook </w:t>
      </w:r>
      <w:r w:rsidR="008568F3" w:rsidRPr="008568F3">
        <w:rPr>
          <w:rFonts w:ascii="Arial" w:hAnsi="Arial" w:cs="Arial"/>
          <w:b/>
          <w:sz w:val="22"/>
          <w:szCs w:val="22"/>
        </w:rPr>
        <w:t>reactie</w:t>
      </w:r>
      <w:r w:rsidRPr="008568F3">
        <w:rPr>
          <w:rFonts w:ascii="Arial" w:hAnsi="Arial" w:cs="Arial"/>
          <w:b/>
          <w:sz w:val="22"/>
          <w:szCs w:val="22"/>
        </w:rPr>
        <w:t>procedures</w:t>
      </w:r>
      <w:r w:rsidR="008568F3">
        <w:rPr>
          <w:rFonts w:ascii="Arial" w:hAnsi="Arial" w:cs="Arial"/>
          <w:b/>
          <w:sz w:val="22"/>
          <w:szCs w:val="22"/>
        </w:rPr>
        <w:t xml:space="preserve"> (stap 3</w:t>
      </w:r>
      <w:r w:rsidRPr="0074439A">
        <w:rPr>
          <w:rFonts w:ascii="Arial" w:hAnsi="Arial" w:cs="Arial"/>
          <w:b/>
          <w:sz w:val="22"/>
          <w:szCs w:val="22"/>
        </w:rPr>
        <w:t>)</w:t>
      </w:r>
      <w:r w:rsidRPr="0074439A">
        <w:rPr>
          <w:rFonts w:ascii="Arial" w:hAnsi="Arial" w:cs="Arial"/>
          <w:sz w:val="22"/>
          <w:szCs w:val="22"/>
        </w:rPr>
        <w:t xml:space="preserve"> voorgelegd die gevolgd worden in geval grensoverschrijdend gedrag plaatsvond of in geval hiervan een vermoeden is.</w:t>
      </w:r>
    </w:p>
    <w:p w:rsidR="008568F3" w:rsidRDefault="008568F3" w:rsidP="0074439A">
      <w:pPr>
        <w:rPr>
          <w:rFonts w:ascii="Arial" w:hAnsi="Arial" w:cs="Arial"/>
          <w:sz w:val="22"/>
          <w:szCs w:val="22"/>
        </w:rPr>
      </w:pPr>
    </w:p>
    <w:p w:rsidR="002471D8" w:rsidRDefault="002471D8" w:rsidP="0074439A">
      <w:pPr>
        <w:rPr>
          <w:rFonts w:ascii="Arial" w:hAnsi="Arial" w:cs="Arial"/>
          <w:sz w:val="22"/>
          <w:szCs w:val="22"/>
        </w:rPr>
      </w:pPr>
      <w:r>
        <w:rPr>
          <w:rFonts w:ascii="Arial" w:hAnsi="Arial" w:cs="Arial"/>
          <w:sz w:val="22"/>
          <w:szCs w:val="22"/>
        </w:rPr>
        <w:t xml:space="preserve">Er worden ook een aantal </w:t>
      </w:r>
      <w:r w:rsidRPr="002471D8">
        <w:rPr>
          <w:rFonts w:ascii="Arial" w:hAnsi="Arial" w:cs="Arial"/>
          <w:b/>
          <w:sz w:val="22"/>
          <w:szCs w:val="22"/>
        </w:rPr>
        <w:t>methoden</w:t>
      </w:r>
      <w:r>
        <w:rPr>
          <w:rFonts w:ascii="Arial" w:hAnsi="Arial" w:cs="Arial"/>
          <w:sz w:val="22"/>
          <w:szCs w:val="22"/>
        </w:rPr>
        <w:t xml:space="preserve"> aangereikt ter ondersteuning.</w:t>
      </w:r>
    </w:p>
    <w:p w:rsidR="0074439A" w:rsidRPr="00C47699" w:rsidRDefault="002471D8">
      <w:pPr>
        <w:rPr>
          <w:rFonts w:ascii="Arial" w:hAnsi="Arial" w:cs="Arial"/>
          <w:sz w:val="22"/>
          <w:szCs w:val="22"/>
        </w:rPr>
      </w:pPr>
      <w:r>
        <w:rPr>
          <w:rFonts w:ascii="Arial" w:hAnsi="Arial" w:cs="Arial"/>
          <w:sz w:val="22"/>
          <w:szCs w:val="22"/>
        </w:rPr>
        <w:t xml:space="preserve">In een </w:t>
      </w:r>
      <w:r w:rsidRPr="002471D8">
        <w:rPr>
          <w:rFonts w:ascii="Arial" w:hAnsi="Arial" w:cs="Arial"/>
          <w:b/>
          <w:sz w:val="22"/>
          <w:szCs w:val="22"/>
        </w:rPr>
        <w:t xml:space="preserve">protocol </w:t>
      </w:r>
      <w:r>
        <w:rPr>
          <w:rFonts w:ascii="Arial" w:hAnsi="Arial" w:cs="Arial"/>
          <w:sz w:val="22"/>
          <w:szCs w:val="22"/>
        </w:rPr>
        <w:t>worden een aantal basisregels vastgelegd in verband met seksualiteit, uitingsvormen en vraagstukken.</w:t>
      </w:r>
    </w:p>
    <w:sectPr w:rsidR="0074439A" w:rsidRPr="00C47699" w:rsidSect="007B57B2">
      <w:headerReference w:type="default" r:id="rId15"/>
      <w:footerReference w:type="default" r:id="rId1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0" w:rsidRDefault="00FA3E40">
      <w:r>
        <w:separator/>
      </w:r>
    </w:p>
  </w:endnote>
  <w:endnote w:type="continuationSeparator" w:id="0">
    <w:p w:rsidR="00FA3E40" w:rsidRDefault="00FA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pio Condensed">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E" w:rsidRPr="001707BE" w:rsidRDefault="001707BE">
    <w:pPr>
      <w:pStyle w:val="Voettekst"/>
      <w:rPr>
        <w:rFonts w:ascii="Arial" w:hAnsi="Arial" w:cs="Arial"/>
        <w:color w:val="A6A6A6" w:themeColor="background1" w:themeShade="A6"/>
      </w:rPr>
    </w:pPr>
    <w:r w:rsidRPr="001707BE">
      <w:rPr>
        <w:rFonts w:ascii="Arial" w:hAnsi="Arial" w:cs="Arial"/>
        <w:color w:val="A6A6A6" w:themeColor="background1" w:themeShade="A6"/>
      </w:rPr>
      <w:fldChar w:fldCharType="begin"/>
    </w:r>
    <w:r w:rsidRPr="001707BE">
      <w:rPr>
        <w:rFonts w:ascii="Arial" w:hAnsi="Arial" w:cs="Arial"/>
        <w:color w:val="A6A6A6" w:themeColor="background1" w:themeShade="A6"/>
      </w:rPr>
      <w:instrText xml:space="preserve"> FILENAME \p \* MERGEFORMAT </w:instrText>
    </w:r>
    <w:r w:rsidRPr="001707BE">
      <w:rPr>
        <w:rFonts w:ascii="Arial" w:hAnsi="Arial" w:cs="Arial"/>
        <w:color w:val="A6A6A6" w:themeColor="background1" w:themeShade="A6"/>
      </w:rPr>
      <w:fldChar w:fldCharType="separate"/>
    </w:r>
    <w:r w:rsidRPr="001707BE">
      <w:rPr>
        <w:rFonts w:ascii="Arial" w:hAnsi="Arial" w:cs="Arial"/>
        <w:noProof/>
        <w:color w:val="A6A6A6" w:themeColor="background1" w:themeShade="A6"/>
      </w:rPr>
      <w:t>K:\A_Organisatie\Kwaliteitshandboek\Kwaliteitshandboek\05 Gebruikersgerichte processen\06 voorkomen, dedecteren en gepast reageren op grensoverschrijdend gedrag tav de gebruiker\Deel 2 relaties en seksualiteit\Relaties-seksualiteit 1 Uitgangspunt.docx</w:t>
    </w:r>
    <w:r w:rsidRPr="001707BE">
      <w:rPr>
        <w:rFonts w:ascii="Arial" w:hAnsi="Arial" w:cs="Arial"/>
        <w:color w:val="A6A6A6" w:themeColor="background1" w:themeShade="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0" w:rsidRDefault="00FA3E40">
      <w:r>
        <w:separator/>
      </w:r>
    </w:p>
  </w:footnote>
  <w:footnote w:type="continuationSeparator" w:id="0">
    <w:p w:rsidR="00FA3E40" w:rsidRDefault="00FA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6B0A2C">
      <w:tc>
        <w:tcPr>
          <w:tcW w:w="2870" w:type="dxa"/>
        </w:tcPr>
        <w:p w:rsidR="006B0A2C" w:rsidRDefault="008568F3" w:rsidP="0089356D">
          <w:pPr>
            <w:pStyle w:val="Koptekst"/>
            <w:jc w:val="center"/>
            <w:rPr>
              <w:rFonts w:ascii="Arial" w:hAnsi="Arial"/>
              <w:b/>
            </w:rPr>
          </w:pPr>
          <w:r>
            <w:rPr>
              <w:rFonts w:ascii="Arial" w:hAnsi="Arial"/>
              <w:b/>
              <w:noProof/>
              <w:lang w:val="nl-BE" w:eastAsia="nl-BE"/>
            </w:rPr>
            <w:drawing>
              <wp:inline distT="0" distB="0" distL="0" distR="0">
                <wp:extent cx="1762125" cy="228600"/>
                <wp:effectExtent l="0" t="0" r="9525" b="0"/>
                <wp:docPr id="2"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3400" w:type="dxa"/>
        </w:tcPr>
        <w:p w:rsidR="006B0A2C" w:rsidRDefault="006B0A2C" w:rsidP="0089356D">
          <w:pPr>
            <w:pStyle w:val="Koptekst"/>
            <w:jc w:val="center"/>
            <w:rPr>
              <w:rFonts w:ascii="Arial" w:hAnsi="Arial"/>
              <w:b/>
              <w:u w:val="single"/>
            </w:rPr>
          </w:pPr>
          <w:r>
            <w:rPr>
              <w:rFonts w:ascii="Arial" w:hAnsi="Arial"/>
              <w:b/>
              <w:u w:val="single"/>
            </w:rPr>
            <w:t>Kwaliteitshandboek</w:t>
          </w:r>
        </w:p>
        <w:p w:rsidR="006B0A2C" w:rsidRDefault="006B0A2C" w:rsidP="0089356D">
          <w:pPr>
            <w:pStyle w:val="Koptekst"/>
            <w:rPr>
              <w:rFonts w:ascii="Arial" w:hAnsi="Arial"/>
              <w:b/>
            </w:rPr>
          </w:pPr>
          <w:r>
            <w:rPr>
              <w:rFonts w:ascii="Arial" w:hAnsi="Arial"/>
              <w:b/>
            </w:rPr>
            <w:t>Dienstverlening</w:t>
          </w:r>
        </w:p>
        <w:p w:rsidR="006B0A2C" w:rsidRDefault="006B0A2C" w:rsidP="0089356D">
          <w:pPr>
            <w:pStyle w:val="Koptekst"/>
            <w:rPr>
              <w:rFonts w:ascii="Arial" w:hAnsi="Arial"/>
              <w:b/>
            </w:rPr>
          </w:pPr>
          <w:r>
            <w:rPr>
              <w:rFonts w:ascii="Arial" w:hAnsi="Arial"/>
              <w:b/>
            </w:rPr>
            <w:t>Procedure</w:t>
          </w:r>
        </w:p>
        <w:p w:rsidR="006B0A2C" w:rsidRDefault="006B0A2C" w:rsidP="0089356D">
          <w:pPr>
            <w:pStyle w:val="Koptekst"/>
            <w:rPr>
              <w:rFonts w:ascii="Arial" w:hAnsi="Arial"/>
              <w:b/>
            </w:rPr>
          </w:pPr>
          <w:r>
            <w:rPr>
              <w:rFonts w:ascii="Arial" w:hAnsi="Arial"/>
              <w:b/>
            </w:rPr>
            <w:t>Preventie Misbruik &amp; Geweld</w:t>
          </w:r>
        </w:p>
        <w:p w:rsidR="006B0A2C" w:rsidRDefault="006B0A2C" w:rsidP="0089356D">
          <w:pPr>
            <w:pStyle w:val="Koptekst"/>
            <w:rPr>
              <w:rFonts w:ascii="Arial" w:hAnsi="Arial"/>
              <w:b/>
            </w:rPr>
          </w:pPr>
          <w:r>
            <w:rPr>
              <w:rFonts w:ascii="Arial" w:hAnsi="Arial"/>
              <w:b/>
            </w:rPr>
            <w:t>Relatievorming &amp; Seksuali</w:t>
          </w:r>
          <w:r w:rsidR="006D31F2">
            <w:rPr>
              <w:rFonts w:ascii="Arial" w:hAnsi="Arial"/>
              <w:b/>
            </w:rPr>
            <w:t>teit: Uitgangspunt</w:t>
          </w:r>
        </w:p>
      </w:tc>
      <w:tc>
        <w:tcPr>
          <w:tcW w:w="2305" w:type="dxa"/>
        </w:tcPr>
        <w:p w:rsidR="006B0A2C" w:rsidRDefault="006B0A2C" w:rsidP="0089356D">
          <w:pPr>
            <w:pStyle w:val="Koptekst"/>
            <w:rPr>
              <w:rFonts w:ascii="Arial" w:hAnsi="Arial"/>
              <w:b/>
            </w:rPr>
          </w:pPr>
        </w:p>
        <w:p w:rsidR="006B0A2C" w:rsidRDefault="006B0A2C" w:rsidP="0089356D">
          <w:pPr>
            <w:pStyle w:val="Koptekst"/>
            <w:rPr>
              <w:rFonts w:ascii="Arial" w:hAnsi="Arial"/>
              <w:b/>
            </w:rPr>
          </w:pPr>
          <w:r>
            <w:rPr>
              <w:rFonts w:ascii="Arial" w:hAnsi="Arial"/>
              <w:b/>
            </w:rPr>
            <w:t xml:space="preserve">Versie </w:t>
          </w:r>
          <w:r w:rsidR="0093238D">
            <w:rPr>
              <w:rFonts w:ascii="Arial" w:hAnsi="Arial"/>
              <w:b/>
            </w:rPr>
            <w:t>2016/1</w:t>
          </w:r>
        </w:p>
        <w:p w:rsidR="006B0A2C" w:rsidRDefault="006B0A2C" w:rsidP="0089356D">
          <w:pPr>
            <w:pStyle w:val="Koptekst"/>
            <w:rPr>
              <w:rFonts w:ascii="Arial" w:hAnsi="Arial"/>
              <w:b/>
            </w:rPr>
          </w:pPr>
          <w:r>
            <w:rPr>
              <w:rFonts w:ascii="Arial" w:hAnsi="Arial"/>
              <w:b/>
            </w:rPr>
            <w:t>An Bellemans</w:t>
          </w:r>
        </w:p>
        <w:p w:rsidR="006B0A2C" w:rsidRDefault="006B0A2C" w:rsidP="0089356D">
          <w:pPr>
            <w:pStyle w:val="Koptekst"/>
            <w:rPr>
              <w:rFonts w:ascii="Arial" w:hAnsi="Arial"/>
              <w:b/>
            </w:rPr>
          </w:pPr>
          <w:r>
            <w:rPr>
              <w:rFonts w:ascii="Arial" w:hAnsi="Arial"/>
              <w:b/>
            </w:rPr>
            <w:t>Evaluatiefrequentie: 2</w:t>
          </w:r>
        </w:p>
      </w:tc>
      <w:tc>
        <w:tcPr>
          <w:tcW w:w="637" w:type="dxa"/>
        </w:tcPr>
        <w:p w:rsidR="006B0A2C" w:rsidRDefault="006B0A2C" w:rsidP="0089356D">
          <w:pPr>
            <w:pStyle w:val="Koptekst"/>
            <w:rPr>
              <w:rStyle w:val="Paginanummer"/>
              <w:rFonts w:ascii="Arial" w:hAnsi="Arial"/>
              <w:b/>
            </w:rPr>
          </w:pPr>
        </w:p>
        <w:p w:rsidR="006B0A2C" w:rsidRDefault="006B0A2C" w:rsidP="0089356D">
          <w:pPr>
            <w:pStyle w:val="Koptekst"/>
            <w:rPr>
              <w:rFonts w:ascii="Arial" w:hAnsi="Arial"/>
              <w:b/>
            </w:rPr>
          </w:pPr>
          <w:r>
            <w:rPr>
              <w:rStyle w:val="Paginanummer"/>
              <w:rFonts w:ascii="Arial" w:hAnsi="Arial"/>
              <w:b/>
            </w:rPr>
            <w:fldChar w:fldCharType="begin"/>
          </w:r>
          <w:r>
            <w:rPr>
              <w:rStyle w:val="Paginanummer"/>
              <w:rFonts w:ascii="Arial" w:hAnsi="Arial"/>
              <w:b/>
            </w:rPr>
            <w:instrText xml:space="preserve"> PAGE </w:instrText>
          </w:r>
          <w:r>
            <w:rPr>
              <w:rStyle w:val="Paginanummer"/>
              <w:rFonts w:ascii="Arial" w:hAnsi="Arial"/>
              <w:b/>
            </w:rPr>
            <w:fldChar w:fldCharType="separate"/>
          </w:r>
          <w:r w:rsidR="001707BE">
            <w:rPr>
              <w:rStyle w:val="Paginanummer"/>
              <w:rFonts w:ascii="Arial" w:hAnsi="Arial"/>
              <w:b/>
              <w:noProof/>
            </w:rPr>
            <w:t>1</w:t>
          </w:r>
          <w:r>
            <w:rPr>
              <w:rStyle w:val="Paginanummer"/>
              <w:rFonts w:ascii="Arial" w:hAnsi="Arial"/>
              <w:b/>
            </w:rPr>
            <w:fldChar w:fldCharType="end"/>
          </w:r>
          <w:r>
            <w:rPr>
              <w:rStyle w:val="Paginanummer"/>
              <w:rFonts w:ascii="Arial" w:hAnsi="Arial"/>
              <w:b/>
            </w:rPr>
            <w:t>/</w:t>
          </w:r>
          <w:r>
            <w:rPr>
              <w:rStyle w:val="Paginanummer"/>
              <w:rFonts w:ascii="Arial" w:hAnsi="Arial"/>
              <w:b/>
            </w:rPr>
            <w:fldChar w:fldCharType="begin"/>
          </w:r>
          <w:r>
            <w:rPr>
              <w:rStyle w:val="Paginanummer"/>
              <w:rFonts w:ascii="Arial" w:hAnsi="Arial"/>
              <w:b/>
            </w:rPr>
            <w:instrText xml:space="preserve"> NUMPAGES </w:instrText>
          </w:r>
          <w:r>
            <w:rPr>
              <w:rStyle w:val="Paginanummer"/>
              <w:rFonts w:ascii="Arial" w:hAnsi="Arial"/>
              <w:b/>
            </w:rPr>
            <w:fldChar w:fldCharType="separate"/>
          </w:r>
          <w:r w:rsidR="001707BE">
            <w:rPr>
              <w:rStyle w:val="Paginanummer"/>
              <w:rFonts w:ascii="Arial" w:hAnsi="Arial"/>
              <w:b/>
              <w:noProof/>
            </w:rPr>
            <w:t>1</w:t>
          </w:r>
          <w:r>
            <w:rPr>
              <w:rStyle w:val="Paginanummer"/>
              <w:rFonts w:ascii="Arial" w:hAnsi="Arial"/>
              <w:b/>
            </w:rPr>
            <w:fldChar w:fldCharType="end"/>
          </w:r>
        </w:p>
      </w:tc>
    </w:tr>
  </w:tbl>
  <w:p w:rsidR="006B0A2C" w:rsidRDefault="006B0A2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633F"/>
    <w:multiLevelType w:val="multilevel"/>
    <w:tmpl w:val="C3A87EDE"/>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F428D"/>
    <w:rsid w:val="001707BE"/>
    <w:rsid w:val="001E2DDE"/>
    <w:rsid w:val="00211A88"/>
    <w:rsid w:val="002471D8"/>
    <w:rsid w:val="00293358"/>
    <w:rsid w:val="002F2243"/>
    <w:rsid w:val="003A777A"/>
    <w:rsid w:val="00475FCF"/>
    <w:rsid w:val="004974A6"/>
    <w:rsid w:val="004B4028"/>
    <w:rsid w:val="00516FDA"/>
    <w:rsid w:val="005B12DF"/>
    <w:rsid w:val="006963EB"/>
    <w:rsid w:val="006B04B0"/>
    <w:rsid w:val="006B0A2C"/>
    <w:rsid w:val="006D31F2"/>
    <w:rsid w:val="007144D6"/>
    <w:rsid w:val="0074439A"/>
    <w:rsid w:val="007B57B2"/>
    <w:rsid w:val="008568F3"/>
    <w:rsid w:val="0089356D"/>
    <w:rsid w:val="008A41CD"/>
    <w:rsid w:val="0093238D"/>
    <w:rsid w:val="00967217"/>
    <w:rsid w:val="00977F12"/>
    <w:rsid w:val="00AC3481"/>
    <w:rsid w:val="00B426B1"/>
    <w:rsid w:val="00C47699"/>
    <w:rsid w:val="00C81101"/>
    <w:rsid w:val="00CD28EA"/>
    <w:rsid w:val="00D24D6C"/>
    <w:rsid w:val="00D311A6"/>
    <w:rsid w:val="00D55CEC"/>
    <w:rsid w:val="00D77330"/>
    <w:rsid w:val="00E75812"/>
    <w:rsid w:val="00EA0E4E"/>
    <w:rsid w:val="00EF2AD2"/>
    <w:rsid w:val="00FA3E40"/>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78E0EE6-C811-4726-8F60-C9690FF4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B0A2C"/>
    <w:pPr>
      <w:tabs>
        <w:tab w:val="center" w:pos="4703"/>
        <w:tab w:val="right" w:pos="9406"/>
      </w:tabs>
    </w:pPr>
  </w:style>
  <w:style w:type="paragraph" w:styleId="Voettekst">
    <w:name w:val="footer"/>
    <w:basedOn w:val="Standaard"/>
    <w:rsid w:val="006B0A2C"/>
    <w:pPr>
      <w:tabs>
        <w:tab w:val="center" w:pos="4703"/>
        <w:tab w:val="right" w:pos="9406"/>
      </w:tabs>
    </w:pPr>
  </w:style>
  <w:style w:type="character" w:styleId="Paginanummer">
    <w:name w:val="page number"/>
    <w:basedOn w:val="Standaardalinea-lettertype"/>
    <w:rsid w:val="006B0A2C"/>
  </w:style>
  <w:style w:type="table" w:styleId="Tabelraster">
    <w:name w:val="Table Grid"/>
    <w:basedOn w:val="Standaardtabel"/>
    <w:rsid w:val="006B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0A2C"/>
    <w:rPr>
      <w:color w:val="0000FF"/>
      <w:u w:val="single"/>
    </w:rPr>
  </w:style>
  <w:style w:type="paragraph" w:styleId="Ballontekst">
    <w:name w:val="Balloon Text"/>
    <w:basedOn w:val="Standaard"/>
    <w:link w:val="BallontekstChar"/>
    <w:rsid w:val="005B12DF"/>
    <w:rPr>
      <w:rFonts w:ascii="Segoe UI" w:hAnsi="Segoe UI" w:cs="Segoe UI"/>
      <w:sz w:val="18"/>
      <w:szCs w:val="18"/>
    </w:rPr>
  </w:style>
  <w:style w:type="character" w:customStyle="1" w:styleId="BallontekstChar">
    <w:name w:val="Ballontekst Char"/>
    <w:basedOn w:val="Standaardalinea-lettertype"/>
    <w:link w:val="Ballontekst"/>
    <w:rsid w:val="005B12DF"/>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CE08B-9AC0-4762-99FC-4BE6AD5BF3F3}" type="doc">
      <dgm:prSet loTypeId="urn:microsoft.com/office/officeart/2005/8/layout/pyramid1" loCatId="pyramid" qsTypeId="urn:microsoft.com/office/officeart/2005/8/quickstyle/simple1" qsCatId="simple" csTypeId="urn:microsoft.com/office/officeart/2005/8/colors/accent1_2" csCatId="accent1" phldr="1"/>
      <dgm:spPr/>
    </dgm:pt>
    <dgm:pt modelId="{172749C4-ED24-42BF-8FC5-F543F92A72C0}">
      <dgm:prSet phldrT="[Tekst]" custT="1"/>
      <dgm:spPr/>
      <dgm:t>
        <a:bodyPr/>
        <a:lstStyle/>
        <a:p>
          <a:pPr algn="ctr"/>
          <a:endParaRPr lang="nl-BE" sz="1200"/>
        </a:p>
        <a:p>
          <a:pPr algn="ctr"/>
          <a:r>
            <a:rPr lang="nl-BE" sz="1400"/>
            <a:t>reactie </a:t>
          </a:r>
        </a:p>
      </dgm:t>
    </dgm:pt>
    <dgm:pt modelId="{10AA0EDA-33E3-4692-95BD-B6D3B2AF6DC9}" type="parTrans" cxnId="{6723F8FF-514A-430E-BEA2-069D9CF91854}">
      <dgm:prSet/>
      <dgm:spPr/>
      <dgm:t>
        <a:bodyPr/>
        <a:lstStyle/>
        <a:p>
          <a:pPr algn="ctr"/>
          <a:endParaRPr lang="nl-BE"/>
        </a:p>
      </dgm:t>
    </dgm:pt>
    <dgm:pt modelId="{128543BC-9E47-4448-8910-56FC1B511456}" type="sibTrans" cxnId="{6723F8FF-514A-430E-BEA2-069D9CF91854}">
      <dgm:prSet/>
      <dgm:spPr/>
      <dgm:t>
        <a:bodyPr/>
        <a:lstStyle/>
        <a:p>
          <a:pPr algn="ctr"/>
          <a:endParaRPr lang="nl-BE"/>
        </a:p>
      </dgm:t>
    </dgm:pt>
    <dgm:pt modelId="{B82C2FE6-6463-49CA-BB2A-0F2EDB8B3CAC}">
      <dgm:prSet phldrT="[Tekst]" custT="1"/>
      <dgm:spPr/>
      <dgm:t>
        <a:bodyPr/>
        <a:lstStyle/>
        <a:p>
          <a:pPr algn="ctr"/>
          <a:r>
            <a:rPr lang="nl-BE" sz="1400"/>
            <a:t>preventie</a:t>
          </a:r>
        </a:p>
      </dgm:t>
    </dgm:pt>
    <dgm:pt modelId="{6B2F9F25-6262-4C67-A2D9-27336EAC672F}" type="parTrans" cxnId="{B685871F-A4C6-4334-89F1-2D4027DB249D}">
      <dgm:prSet/>
      <dgm:spPr/>
      <dgm:t>
        <a:bodyPr/>
        <a:lstStyle/>
        <a:p>
          <a:pPr algn="ctr"/>
          <a:endParaRPr lang="nl-BE"/>
        </a:p>
      </dgm:t>
    </dgm:pt>
    <dgm:pt modelId="{9F3C1301-D28A-4401-A3B9-4D891773DA7E}" type="sibTrans" cxnId="{B685871F-A4C6-4334-89F1-2D4027DB249D}">
      <dgm:prSet/>
      <dgm:spPr/>
      <dgm:t>
        <a:bodyPr/>
        <a:lstStyle/>
        <a:p>
          <a:pPr algn="ctr"/>
          <a:endParaRPr lang="nl-BE"/>
        </a:p>
      </dgm:t>
    </dgm:pt>
    <dgm:pt modelId="{3E29A054-7137-4B5A-8C8C-80E9AA75067C}">
      <dgm:prSet phldrT="[Tekst]" custT="1"/>
      <dgm:spPr/>
      <dgm:t>
        <a:bodyPr/>
        <a:lstStyle/>
        <a:p>
          <a:pPr algn="ctr"/>
          <a:r>
            <a:rPr lang="nl-BE" sz="1400"/>
            <a:t>kwaliteit</a:t>
          </a:r>
        </a:p>
      </dgm:t>
    </dgm:pt>
    <dgm:pt modelId="{E4C77432-B768-49F6-8781-D5AE44395F85}" type="parTrans" cxnId="{73CA7D5B-BCB0-4069-9EB1-72EF9878E248}">
      <dgm:prSet/>
      <dgm:spPr/>
      <dgm:t>
        <a:bodyPr/>
        <a:lstStyle/>
        <a:p>
          <a:pPr algn="ctr"/>
          <a:endParaRPr lang="nl-BE"/>
        </a:p>
      </dgm:t>
    </dgm:pt>
    <dgm:pt modelId="{0958B8FF-2168-40CD-9FE8-E7F3E0504513}" type="sibTrans" cxnId="{73CA7D5B-BCB0-4069-9EB1-72EF9878E248}">
      <dgm:prSet/>
      <dgm:spPr/>
      <dgm:t>
        <a:bodyPr/>
        <a:lstStyle/>
        <a:p>
          <a:pPr algn="ctr"/>
          <a:endParaRPr lang="nl-BE"/>
        </a:p>
      </dgm:t>
    </dgm:pt>
    <dgm:pt modelId="{2402C1C6-CA1A-4FDD-B7F8-E1E7E7B241DB}" type="pres">
      <dgm:prSet presAssocID="{3C0CE08B-9AC0-4762-99FC-4BE6AD5BF3F3}" presName="Name0" presStyleCnt="0">
        <dgm:presLayoutVars>
          <dgm:dir/>
          <dgm:animLvl val="lvl"/>
          <dgm:resizeHandles val="exact"/>
        </dgm:presLayoutVars>
      </dgm:prSet>
      <dgm:spPr/>
    </dgm:pt>
    <dgm:pt modelId="{9777649A-BC01-4A02-B868-AD487E56F50D}" type="pres">
      <dgm:prSet presAssocID="{172749C4-ED24-42BF-8FC5-F543F92A72C0}" presName="Name8" presStyleCnt="0"/>
      <dgm:spPr/>
    </dgm:pt>
    <dgm:pt modelId="{B7E750F9-E074-4CDD-80C3-F9B03EE31D2A}" type="pres">
      <dgm:prSet presAssocID="{172749C4-ED24-42BF-8FC5-F543F92A72C0}" presName="level" presStyleLbl="node1" presStyleIdx="0" presStyleCnt="3">
        <dgm:presLayoutVars>
          <dgm:chMax val="1"/>
          <dgm:bulletEnabled val="1"/>
        </dgm:presLayoutVars>
      </dgm:prSet>
      <dgm:spPr/>
      <dgm:t>
        <a:bodyPr/>
        <a:lstStyle/>
        <a:p>
          <a:endParaRPr lang="nl-BE"/>
        </a:p>
      </dgm:t>
    </dgm:pt>
    <dgm:pt modelId="{CA2A294A-9051-4C26-984B-81A4C8E59077}" type="pres">
      <dgm:prSet presAssocID="{172749C4-ED24-42BF-8FC5-F543F92A72C0}" presName="levelTx" presStyleLbl="revTx" presStyleIdx="0" presStyleCnt="0">
        <dgm:presLayoutVars>
          <dgm:chMax val="1"/>
          <dgm:bulletEnabled val="1"/>
        </dgm:presLayoutVars>
      </dgm:prSet>
      <dgm:spPr/>
      <dgm:t>
        <a:bodyPr/>
        <a:lstStyle/>
        <a:p>
          <a:endParaRPr lang="nl-BE"/>
        </a:p>
      </dgm:t>
    </dgm:pt>
    <dgm:pt modelId="{3BFB27CF-C75C-469B-B81A-D829D06D348D}" type="pres">
      <dgm:prSet presAssocID="{B82C2FE6-6463-49CA-BB2A-0F2EDB8B3CAC}" presName="Name8" presStyleCnt="0"/>
      <dgm:spPr/>
    </dgm:pt>
    <dgm:pt modelId="{9AED631E-83CE-425C-A13A-DEC05533FDE7}" type="pres">
      <dgm:prSet presAssocID="{B82C2FE6-6463-49CA-BB2A-0F2EDB8B3CAC}" presName="level" presStyleLbl="node1" presStyleIdx="1" presStyleCnt="3">
        <dgm:presLayoutVars>
          <dgm:chMax val="1"/>
          <dgm:bulletEnabled val="1"/>
        </dgm:presLayoutVars>
      </dgm:prSet>
      <dgm:spPr/>
      <dgm:t>
        <a:bodyPr/>
        <a:lstStyle/>
        <a:p>
          <a:endParaRPr lang="nl-BE"/>
        </a:p>
      </dgm:t>
    </dgm:pt>
    <dgm:pt modelId="{E07DE5AE-F6A0-4D64-B7CA-134BFF4B9AFD}" type="pres">
      <dgm:prSet presAssocID="{B82C2FE6-6463-49CA-BB2A-0F2EDB8B3CAC}" presName="levelTx" presStyleLbl="revTx" presStyleIdx="0" presStyleCnt="0">
        <dgm:presLayoutVars>
          <dgm:chMax val="1"/>
          <dgm:bulletEnabled val="1"/>
        </dgm:presLayoutVars>
      </dgm:prSet>
      <dgm:spPr/>
      <dgm:t>
        <a:bodyPr/>
        <a:lstStyle/>
        <a:p>
          <a:endParaRPr lang="nl-BE"/>
        </a:p>
      </dgm:t>
    </dgm:pt>
    <dgm:pt modelId="{40706CEB-8312-4D92-B9F5-10AA1C73E663}" type="pres">
      <dgm:prSet presAssocID="{3E29A054-7137-4B5A-8C8C-80E9AA75067C}" presName="Name8" presStyleCnt="0"/>
      <dgm:spPr/>
    </dgm:pt>
    <dgm:pt modelId="{9960761F-329A-45FB-B6F0-03C8B2EE05A9}" type="pres">
      <dgm:prSet presAssocID="{3E29A054-7137-4B5A-8C8C-80E9AA75067C}" presName="level" presStyleLbl="node1" presStyleIdx="2" presStyleCnt="3">
        <dgm:presLayoutVars>
          <dgm:chMax val="1"/>
          <dgm:bulletEnabled val="1"/>
        </dgm:presLayoutVars>
      </dgm:prSet>
      <dgm:spPr/>
      <dgm:t>
        <a:bodyPr/>
        <a:lstStyle/>
        <a:p>
          <a:endParaRPr lang="nl-BE"/>
        </a:p>
      </dgm:t>
    </dgm:pt>
    <dgm:pt modelId="{68A19149-E86A-4C90-AF4A-6A1A124C070E}" type="pres">
      <dgm:prSet presAssocID="{3E29A054-7137-4B5A-8C8C-80E9AA75067C}" presName="levelTx" presStyleLbl="revTx" presStyleIdx="0" presStyleCnt="0">
        <dgm:presLayoutVars>
          <dgm:chMax val="1"/>
          <dgm:bulletEnabled val="1"/>
        </dgm:presLayoutVars>
      </dgm:prSet>
      <dgm:spPr/>
      <dgm:t>
        <a:bodyPr/>
        <a:lstStyle/>
        <a:p>
          <a:endParaRPr lang="nl-BE"/>
        </a:p>
      </dgm:t>
    </dgm:pt>
  </dgm:ptLst>
  <dgm:cxnLst>
    <dgm:cxn modelId="{32756587-B71E-4309-9A60-81EF9F62B6B7}" type="presOf" srcId="{B82C2FE6-6463-49CA-BB2A-0F2EDB8B3CAC}" destId="{E07DE5AE-F6A0-4D64-B7CA-134BFF4B9AFD}" srcOrd="1" destOrd="0" presId="urn:microsoft.com/office/officeart/2005/8/layout/pyramid1"/>
    <dgm:cxn modelId="{92C44C19-8133-4BC6-8E3C-BDE94B351AA9}" type="presOf" srcId="{172749C4-ED24-42BF-8FC5-F543F92A72C0}" destId="{CA2A294A-9051-4C26-984B-81A4C8E59077}" srcOrd="1" destOrd="0" presId="urn:microsoft.com/office/officeart/2005/8/layout/pyramid1"/>
    <dgm:cxn modelId="{65D1F048-502C-435F-BBFB-7059CDC0981D}" type="presOf" srcId="{172749C4-ED24-42BF-8FC5-F543F92A72C0}" destId="{B7E750F9-E074-4CDD-80C3-F9B03EE31D2A}" srcOrd="0" destOrd="0" presId="urn:microsoft.com/office/officeart/2005/8/layout/pyramid1"/>
    <dgm:cxn modelId="{49D25C73-978D-49BA-9E70-F7F24B069A32}" type="presOf" srcId="{3C0CE08B-9AC0-4762-99FC-4BE6AD5BF3F3}" destId="{2402C1C6-CA1A-4FDD-B7F8-E1E7E7B241DB}" srcOrd="0" destOrd="0" presId="urn:microsoft.com/office/officeart/2005/8/layout/pyramid1"/>
    <dgm:cxn modelId="{6723F8FF-514A-430E-BEA2-069D9CF91854}" srcId="{3C0CE08B-9AC0-4762-99FC-4BE6AD5BF3F3}" destId="{172749C4-ED24-42BF-8FC5-F543F92A72C0}" srcOrd="0" destOrd="0" parTransId="{10AA0EDA-33E3-4692-95BD-B6D3B2AF6DC9}" sibTransId="{128543BC-9E47-4448-8910-56FC1B511456}"/>
    <dgm:cxn modelId="{193FAA8A-F43A-4004-B82F-17D8566F3C0C}" type="presOf" srcId="{3E29A054-7137-4B5A-8C8C-80E9AA75067C}" destId="{9960761F-329A-45FB-B6F0-03C8B2EE05A9}" srcOrd="0" destOrd="0" presId="urn:microsoft.com/office/officeart/2005/8/layout/pyramid1"/>
    <dgm:cxn modelId="{73CA7D5B-BCB0-4069-9EB1-72EF9878E248}" srcId="{3C0CE08B-9AC0-4762-99FC-4BE6AD5BF3F3}" destId="{3E29A054-7137-4B5A-8C8C-80E9AA75067C}" srcOrd="2" destOrd="0" parTransId="{E4C77432-B768-49F6-8781-D5AE44395F85}" sibTransId="{0958B8FF-2168-40CD-9FE8-E7F3E0504513}"/>
    <dgm:cxn modelId="{3A4D2AE7-6888-49D2-B451-260BDDD0FDC7}" type="presOf" srcId="{3E29A054-7137-4B5A-8C8C-80E9AA75067C}" destId="{68A19149-E86A-4C90-AF4A-6A1A124C070E}" srcOrd="1" destOrd="0" presId="urn:microsoft.com/office/officeart/2005/8/layout/pyramid1"/>
    <dgm:cxn modelId="{8C109BC7-A2D0-4410-A172-146BD6B307DA}" type="presOf" srcId="{B82C2FE6-6463-49CA-BB2A-0F2EDB8B3CAC}" destId="{9AED631E-83CE-425C-A13A-DEC05533FDE7}" srcOrd="0" destOrd="0" presId="urn:microsoft.com/office/officeart/2005/8/layout/pyramid1"/>
    <dgm:cxn modelId="{B685871F-A4C6-4334-89F1-2D4027DB249D}" srcId="{3C0CE08B-9AC0-4762-99FC-4BE6AD5BF3F3}" destId="{B82C2FE6-6463-49CA-BB2A-0F2EDB8B3CAC}" srcOrd="1" destOrd="0" parTransId="{6B2F9F25-6262-4C67-A2D9-27336EAC672F}" sibTransId="{9F3C1301-D28A-4401-A3B9-4D891773DA7E}"/>
    <dgm:cxn modelId="{71105A36-3AAC-4CCD-A12C-135E7B1014DB}" type="presParOf" srcId="{2402C1C6-CA1A-4FDD-B7F8-E1E7E7B241DB}" destId="{9777649A-BC01-4A02-B868-AD487E56F50D}" srcOrd="0" destOrd="0" presId="urn:microsoft.com/office/officeart/2005/8/layout/pyramid1"/>
    <dgm:cxn modelId="{CAEEDE81-C3D9-4063-AB94-86F0920EC30A}" type="presParOf" srcId="{9777649A-BC01-4A02-B868-AD487E56F50D}" destId="{B7E750F9-E074-4CDD-80C3-F9B03EE31D2A}" srcOrd="0" destOrd="0" presId="urn:microsoft.com/office/officeart/2005/8/layout/pyramid1"/>
    <dgm:cxn modelId="{2CCF7028-0A7B-445B-8AFE-E296DA357403}" type="presParOf" srcId="{9777649A-BC01-4A02-B868-AD487E56F50D}" destId="{CA2A294A-9051-4C26-984B-81A4C8E59077}" srcOrd="1" destOrd="0" presId="urn:microsoft.com/office/officeart/2005/8/layout/pyramid1"/>
    <dgm:cxn modelId="{694EEB12-CEA9-43A9-93D6-B3894D53945F}" type="presParOf" srcId="{2402C1C6-CA1A-4FDD-B7F8-E1E7E7B241DB}" destId="{3BFB27CF-C75C-469B-B81A-D829D06D348D}" srcOrd="1" destOrd="0" presId="urn:microsoft.com/office/officeart/2005/8/layout/pyramid1"/>
    <dgm:cxn modelId="{C1D0684B-D12F-4D1A-93AD-213C8DBDF94C}" type="presParOf" srcId="{3BFB27CF-C75C-469B-B81A-D829D06D348D}" destId="{9AED631E-83CE-425C-A13A-DEC05533FDE7}" srcOrd="0" destOrd="0" presId="urn:microsoft.com/office/officeart/2005/8/layout/pyramid1"/>
    <dgm:cxn modelId="{EB9B75C3-7DBE-4838-8902-1ABD1A27F275}" type="presParOf" srcId="{3BFB27CF-C75C-469B-B81A-D829D06D348D}" destId="{E07DE5AE-F6A0-4D64-B7CA-134BFF4B9AFD}" srcOrd="1" destOrd="0" presId="urn:microsoft.com/office/officeart/2005/8/layout/pyramid1"/>
    <dgm:cxn modelId="{C441F763-603D-4B71-B4EF-2820F8FFE6DC}" type="presParOf" srcId="{2402C1C6-CA1A-4FDD-B7F8-E1E7E7B241DB}" destId="{40706CEB-8312-4D92-B9F5-10AA1C73E663}" srcOrd="2" destOrd="0" presId="urn:microsoft.com/office/officeart/2005/8/layout/pyramid1"/>
    <dgm:cxn modelId="{5C56819A-E39C-4025-AB70-C5091FF95DBA}" type="presParOf" srcId="{40706CEB-8312-4D92-B9F5-10AA1C73E663}" destId="{9960761F-329A-45FB-B6F0-03C8B2EE05A9}" srcOrd="0" destOrd="0" presId="urn:microsoft.com/office/officeart/2005/8/layout/pyramid1"/>
    <dgm:cxn modelId="{2B07B6FE-53FB-4A60-8CA7-6B2579F63957}" type="presParOf" srcId="{40706CEB-8312-4D92-B9F5-10AA1C73E663}" destId="{68A19149-E86A-4C90-AF4A-6A1A124C070E}"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750F9-E074-4CDD-80C3-F9B03EE31D2A}">
      <dsp:nvSpPr>
        <dsp:cNvPr id="0" name=""/>
        <dsp:cNvSpPr/>
      </dsp:nvSpPr>
      <dsp:spPr>
        <a:xfrm>
          <a:off x="889000" y="0"/>
          <a:ext cx="889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nl-BE" sz="1200" kern="1200"/>
        </a:p>
        <a:p>
          <a:pPr lvl="0" algn="ctr" defTabSz="533400">
            <a:lnSpc>
              <a:spcPct val="90000"/>
            </a:lnSpc>
            <a:spcBef>
              <a:spcPct val="0"/>
            </a:spcBef>
            <a:spcAft>
              <a:spcPct val="35000"/>
            </a:spcAft>
          </a:pPr>
          <a:r>
            <a:rPr lang="nl-BE" sz="1400" kern="1200"/>
            <a:t>reactie </a:t>
          </a:r>
        </a:p>
      </dsp:txBody>
      <dsp:txXfrm>
        <a:off x="889000" y="0"/>
        <a:ext cx="889000" cy="517443"/>
      </dsp:txXfrm>
    </dsp:sp>
    <dsp:sp modelId="{9AED631E-83CE-425C-A13A-DEC05533FDE7}">
      <dsp:nvSpPr>
        <dsp:cNvPr id="0" name=""/>
        <dsp:cNvSpPr/>
      </dsp:nvSpPr>
      <dsp:spPr>
        <a:xfrm>
          <a:off x="444500" y="517443"/>
          <a:ext cx="1778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preventie</a:t>
          </a:r>
        </a:p>
      </dsp:txBody>
      <dsp:txXfrm>
        <a:off x="755649" y="517443"/>
        <a:ext cx="1155700" cy="517443"/>
      </dsp:txXfrm>
    </dsp:sp>
    <dsp:sp modelId="{9960761F-329A-45FB-B6F0-03C8B2EE05A9}">
      <dsp:nvSpPr>
        <dsp:cNvPr id="0" name=""/>
        <dsp:cNvSpPr/>
      </dsp:nvSpPr>
      <dsp:spPr>
        <a:xfrm>
          <a:off x="0" y="1034887"/>
          <a:ext cx="2667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kwaliteit</a:t>
          </a:r>
        </a:p>
      </dsp:txBody>
      <dsp:txXfrm>
        <a:off x="466724" y="1034887"/>
        <a:ext cx="1733550" cy="5174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DD771F-79C2-45BE-B91B-DA1798331760}">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CC754BD-DE80-4E25-989B-7510A60B725D}">
  <ds:schemaRefs>
    <ds:schemaRef ds:uri="http://schemas.microsoft.com/sharepoint/v3/contenttype/forms"/>
  </ds:schemaRefs>
</ds:datastoreItem>
</file>

<file path=customXml/itemProps3.xml><?xml version="1.0" encoding="utf-8"?>
<ds:datastoreItem xmlns:ds="http://schemas.openxmlformats.org/officeDocument/2006/customXml" ds:itemID="{547E7699-E20A-4FD8-B0D8-EEAF8B72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329</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2258</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2162721</vt:i4>
      </vt:variant>
      <vt:variant>
        <vt:i4>18</vt:i4>
      </vt:variant>
      <vt:variant>
        <vt:i4>0</vt:i4>
      </vt:variant>
      <vt:variant>
        <vt:i4>5</vt:i4>
      </vt:variant>
      <vt:variant>
        <vt:lpwstr>../../../../../../../../DavWWWRoot/kwaliteitkennis/intranetversie 09/02 Dienstverlening/02 Procedure/04 Preventie van misbruik en geweld/Relatievorming en seksualiteit/Agressiebeleid/Agressiebeleid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Dana Keustermans</cp:lastModifiedBy>
  <cp:revision>11</cp:revision>
  <cp:lastPrinted>2016-09-27T07:19:00Z</cp:lastPrinted>
  <dcterms:created xsi:type="dcterms:W3CDTF">2016-09-27T07:52:00Z</dcterms:created>
  <dcterms:modified xsi:type="dcterms:W3CDTF">2016-09-29T08:49:00Z</dcterms:modified>
</cp:coreProperties>
</file>